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A6" w:rsidRDefault="00BB69A6" w:rsidP="00A565FE">
      <w:pPr>
        <w:jc w:val="center"/>
        <w:rPr>
          <w:b/>
          <w:sz w:val="28"/>
          <w:szCs w:val="28"/>
        </w:rPr>
      </w:pPr>
    </w:p>
    <w:p w:rsidR="00BB69A6" w:rsidRDefault="00BB69A6" w:rsidP="00BB69A6"/>
    <w:p w:rsidR="00BB69A6" w:rsidRDefault="00BB69A6" w:rsidP="00BB69A6"/>
    <w:p w:rsidR="00BB69A6" w:rsidRDefault="00BB69A6" w:rsidP="00BB69A6">
      <w:pPr>
        <w:jc w:val="center"/>
      </w:pPr>
      <w:r w:rsidRPr="00745860">
        <w:rPr>
          <w:noProof/>
          <w:lang w:eastAsia="tr-TR"/>
        </w:rPr>
        <w:drawing>
          <wp:inline distT="0" distB="0" distL="0" distR="0">
            <wp:extent cx="1866900" cy="1771650"/>
            <wp:effectExtent l="0" t="0" r="0" b="0"/>
            <wp:docPr id="29" name="Picture 29" descr="ep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epi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A6" w:rsidRDefault="00BB69A6" w:rsidP="00BB69A6"/>
    <w:p w:rsidR="00BB69A6" w:rsidRDefault="00BB69A6" w:rsidP="00BB69A6"/>
    <w:p w:rsidR="00BB69A6" w:rsidRDefault="00BB69A6" w:rsidP="00BB69A6">
      <w:pPr>
        <w:jc w:val="center"/>
      </w:pPr>
    </w:p>
    <w:p w:rsidR="00BB69A6" w:rsidRPr="00BB69A6" w:rsidRDefault="005C1667" w:rsidP="00BB69A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ABONELİK İŞLEMLERİ</w:t>
      </w:r>
      <w:r w:rsidR="00BB69A6" w:rsidRPr="00BB69A6">
        <w:rPr>
          <w:b/>
          <w:sz w:val="52"/>
          <w:szCs w:val="52"/>
        </w:rPr>
        <w:t xml:space="preserve"> EKRANLARI </w:t>
      </w:r>
    </w:p>
    <w:p w:rsidR="00BB69A6" w:rsidRPr="00BB69A6" w:rsidRDefault="00BB69A6" w:rsidP="00BB69A6">
      <w:pPr>
        <w:jc w:val="center"/>
        <w:rPr>
          <w:b/>
          <w:sz w:val="52"/>
          <w:szCs w:val="52"/>
        </w:rPr>
      </w:pPr>
      <w:r w:rsidRPr="00BB69A6">
        <w:rPr>
          <w:b/>
          <w:sz w:val="52"/>
          <w:szCs w:val="52"/>
        </w:rPr>
        <w:t>KULLANIM KILAVUZU</w:t>
      </w:r>
    </w:p>
    <w:p w:rsidR="00BB69A6" w:rsidRDefault="00BB69A6" w:rsidP="00BB69A6"/>
    <w:p w:rsidR="00BB69A6" w:rsidRDefault="00BB69A6" w:rsidP="00BB69A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191770</wp:posOffset>
                </wp:positionV>
                <wp:extent cx="6109970" cy="31115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970" cy="3111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D527"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15.1pt" to="469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" stroked="f">
                <o:lock v:ext="edit" shapetype="f"/>
              </v:line>
            </w:pict>
          </mc:Fallback>
        </mc:AlternateContent>
      </w:r>
    </w:p>
    <w:p w:rsidR="00BB69A6" w:rsidRDefault="00BB69A6" w:rsidP="00BB69A6">
      <w:pPr>
        <w:rPr>
          <w:b/>
          <w:sz w:val="28"/>
        </w:rPr>
      </w:pPr>
    </w:p>
    <w:p w:rsidR="00BB69A6" w:rsidRDefault="00BB69A6" w:rsidP="00BB69A6">
      <w:pPr>
        <w:jc w:val="center"/>
      </w:pPr>
    </w:p>
    <w:p w:rsidR="00BB69A6" w:rsidRDefault="00BB69A6" w:rsidP="00A565FE">
      <w:pPr>
        <w:jc w:val="center"/>
        <w:rPr>
          <w:b/>
          <w:sz w:val="28"/>
          <w:szCs w:val="28"/>
        </w:rPr>
      </w:pPr>
    </w:p>
    <w:p w:rsidR="00BB69A6" w:rsidRDefault="00BB69A6" w:rsidP="00A565FE">
      <w:pPr>
        <w:jc w:val="center"/>
        <w:rPr>
          <w:b/>
          <w:sz w:val="28"/>
          <w:szCs w:val="28"/>
        </w:rPr>
      </w:pPr>
    </w:p>
    <w:p w:rsidR="00BB69A6" w:rsidRDefault="00BB69A6" w:rsidP="00A565FE">
      <w:pPr>
        <w:jc w:val="center"/>
        <w:rPr>
          <w:b/>
          <w:sz w:val="28"/>
          <w:szCs w:val="28"/>
        </w:rPr>
      </w:pPr>
    </w:p>
    <w:p w:rsidR="00BB69A6" w:rsidRDefault="00BB69A6" w:rsidP="00A565FE">
      <w:pPr>
        <w:jc w:val="center"/>
        <w:rPr>
          <w:b/>
          <w:sz w:val="28"/>
          <w:szCs w:val="28"/>
        </w:rPr>
      </w:pPr>
    </w:p>
    <w:p w:rsidR="00BB69A6" w:rsidRDefault="00BB69A6" w:rsidP="00A565FE">
      <w:pPr>
        <w:jc w:val="center"/>
        <w:rPr>
          <w:b/>
          <w:sz w:val="28"/>
          <w:szCs w:val="28"/>
        </w:rPr>
      </w:pPr>
    </w:p>
    <w:p w:rsidR="00BB69A6" w:rsidRDefault="00BB69A6" w:rsidP="00A565FE">
      <w:pPr>
        <w:jc w:val="center"/>
        <w:rPr>
          <w:b/>
          <w:sz w:val="28"/>
          <w:szCs w:val="28"/>
        </w:rPr>
      </w:pPr>
    </w:p>
    <w:p w:rsidR="00BB69A6" w:rsidRDefault="00BB69A6" w:rsidP="00A565FE">
      <w:pPr>
        <w:jc w:val="center"/>
        <w:rPr>
          <w:b/>
          <w:sz w:val="28"/>
          <w:szCs w:val="28"/>
        </w:rPr>
      </w:pPr>
    </w:p>
    <w:p w:rsidR="00BB69A6" w:rsidRDefault="00BB69A6" w:rsidP="00A565FE">
      <w:pPr>
        <w:jc w:val="center"/>
        <w:rPr>
          <w:b/>
          <w:sz w:val="28"/>
          <w:szCs w:val="28"/>
        </w:rPr>
      </w:pPr>
    </w:p>
    <w:p w:rsidR="00BB69A6" w:rsidRDefault="00BB69A6" w:rsidP="00A565FE">
      <w:pPr>
        <w:jc w:val="center"/>
        <w:rPr>
          <w:b/>
          <w:sz w:val="28"/>
          <w:szCs w:val="28"/>
        </w:rPr>
      </w:pPr>
    </w:p>
    <w:p w:rsidR="00A565FE" w:rsidRDefault="00A565FE" w:rsidP="00535727">
      <w:pPr>
        <w:jc w:val="both"/>
      </w:pPr>
      <w:r>
        <w:lastRenderedPageBreak/>
        <w:t xml:space="preserve">PYS’de yapılan geliştirmeler sonucunda </w:t>
      </w:r>
      <w:r w:rsidR="005C1667">
        <w:t xml:space="preserve">tedarik lisansına sahip organizasyonlar tarafından, portföylerde bulunan ölçüm noktalarına tüketici bilgilerini kaydetme imkanı sağlanmıştır. </w:t>
      </w:r>
      <w:r w:rsidR="00961FC7">
        <w:t xml:space="preserve"> </w:t>
      </w:r>
    </w:p>
    <w:p w:rsidR="00961FC7" w:rsidRDefault="005C1667" w:rsidP="00535727">
      <w:pPr>
        <w:jc w:val="both"/>
      </w:pPr>
      <w:r>
        <w:t>Tedarik lisansına sahip kurumlar</w:t>
      </w:r>
      <w:r w:rsidR="00961FC7">
        <w:t xml:space="preserve"> bilgi sistemlerine kayıt ettikleri </w:t>
      </w:r>
      <w:r>
        <w:t>tüketici</w:t>
      </w:r>
      <w:r w:rsidR="00961FC7">
        <w:t xml:space="preserve"> bilgilerini PYS ekranlarından girerek, Excel ile toplu yükleme yaparak veya web servis kanalı ile kayıt edebileceklerdir.</w:t>
      </w:r>
    </w:p>
    <w:p w:rsidR="005C1667" w:rsidRDefault="005C1667" w:rsidP="00535727">
      <w:pPr>
        <w:jc w:val="both"/>
      </w:pPr>
      <w:r>
        <w:t>Tüketici bilgilerinin doğruluğu</w:t>
      </w:r>
      <w:r w:rsidR="00AD52F7">
        <w:t>, doluluğu</w:t>
      </w:r>
      <w:r>
        <w:t xml:space="preserve"> ve güncelliği ilgili mevzuat hükümü doğrultusunda tedarikçi kurumların sorumluluğundadır. Tüketici bilgileri bu kılavuzda belirtilen kurallar doğrultusunda </w:t>
      </w:r>
      <w:r w:rsidR="00AD52F7">
        <w:t>güncellenebilir olacaktır. Güncelleme PYS ekranlarından, excel ile ve web servis kanalından gerçekleştirilebilir.</w:t>
      </w:r>
    </w:p>
    <w:p w:rsidR="00D240AF" w:rsidRDefault="005C1667" w:rsidP="0044151B">
      <w:pPr>
        <w:jc w:val="both"/>
      </w:pPr>
      <w:r>
        <w:t>Tüketici bilgilerinin yanlış olması durumunda, kullanıcılar kaydettikleri tüketici bilgilerini “Pasif” durumuna çekebilecektir. “Pasif” durumuna getirilen tüketici bilgileri ipt</w:t>
      </w:r>
      <w:r w:rsidR="003E5F95">
        <w:t>al edil</w:t>
      </w:r>
      <w:r>
        <w:t xml:space="preserve">miş olacaktır. </w:t>
      </w:r>
    </w:p>
    <w:p w:rsidR="00AD52F7" w:rsidRDefault="00AD52F7" w:rsidP="0044151B">
      <w:pPr>
        <w:jc w:val="both"/>
      </w:pPr>
      <w:r>
        <w:t>Sayaç okuyan kurumlar tüketici bilgilerine erişemeyecek ve değiştiremeyecektir.</w:t>
      </w:r>
    </w:p>
    <w:p w:rsidR="00E065E1" w:rsidRDefault="00AD52F7" w:rsidP="00535727">
      <w:pPr>
        <w:jc w:val="both"/>
      </w:pPr>
      <w:r>
        <w:t>Tedarik lisansına sahip organizasyonların kullanıcıları</w:t>
      </w:r>
      <w:r w:rsidR="00E065E1">
        <w:t>,</w:t>
      </w:r>
      <w:r>
        <w:t xml:space="preserve"> portföylerinde yer alan tüketicilerin bilgilerini sisteme kaydedeceklerdir.</w:t>
      </w:r>
    </w:p>
    <w:p w:rsidR="00A07C92" w:rsidRDefault="00A07C92" w:rsidP="00535727">
      <w:pPr>
        <w:jc w:val="both"/>
      </w:pPr>
    </w:p>
    <w:p w:rsidR="007A44AA" w:rsidRDefault="00AD52F7" w:rsidP="00D240AF">
      <w:r>
        <w:rPr>
          <w:b/>
          <w:u w:val="single"/>
        </w:rPr>
        <w:t>Tüketici Kayıt</w:t>
      </w:r>
      <w:r w:rsidR="00A07C92">
        <w:rPr>
          <w:b/>
          <w:u w:val="single"/>
        </w:rPr>
        <w:t xml:space="preserve"> &amp; Güncelleme</w:t>
      </w:r>
      <w:r w:rsidR="007A44AA">
        <w:t>:</w:t>
      </w:r>
    </w:p>
    <w:p w:rsidR="00A07C92" w:rsidRDefault="00A07C92" w:rsidP="00D240AF"/>
    <w:p w:rsidR="00C70D1B" w:rsidRDefault="00C70D1B" w:rsidP="00C70D1B">
      <w:pPr>
        <w:pStyle w:val="ListParagraph"/>
        <w:numPr>
          <w:ilvl w:val="0"/>
          <w:numId w:val="18"/>
        </w:numPr>
        <w:jc w:val="both"/>
      </w:pPr>
      <w:r w:rsidRPr="00C70D1B">
        <w:rPr>
          <w:u w:val="single"/>
        </w:rPr>
        <w:t>PYS Ekranları Aracılığıyla Kayıt</w:t>
      </w:r>
      <w:r w:rsidR="00A07C92">
        <w:rPr>
          <w:u w:val="single"/>
        </w:rPr>
        <w:t>&amp;Güncelleme</w:t>
      </w:r>
      <w:r>
        <w:t>:</w:t>
      </w:r>
    </w:p>
    <w:p w:rsidR="00F5503E" w:rsidRDefault="00AD52F7" w:rsidP="00535727">
      <w:pPr>
        <w:jc w:val="both"/>
      </w:pPr>
      <w:r>
        <w:t>Tüketici bilgilerinin kaydedilmesi,</w:t>
      </w:r>
      <w:r w:rsidR="00F5503E">
        <w:t xml:space="preserve"> görüntülenmesi, güncellenmesi ve iptal edilmesi için “</w:t>
      </w:r>
      <w:r>
        <w:t xml:space="preserve">Abonelik </w:t>
      </w:r>
      <w:r w:rsidR="00AA382E">
        <w:t>Hareket Listeleme Ekranı</w:t>
      </w:r>
      <w:r w:rsidR="00F5503E">
        <w:t>”</w:t>
      </w:r>
      <w:r>
        <w:t xml:space="preserve"> ekranı</w:t>
      </w:r>
      <w:r w:rsidR="00F5503E">
        <w:t xml:space="preserve"> kullanılacaktır. </w:t>
      </w:r>
      <w:r>
        <w:t>Söz konusu ekran</w:t>
      </w:r>
      <w:r w:rsidR="00F5503E">
        <w:t>a “Kayıt İşlemleri” &gt;&gt;&gt; “Serbest Tüketici İşlemleri” &gt;&gt;&gt; “</w:t>
      </w:r>
      <w:r>
        <w:t>Abonelik</w:t>
      </w:r>
      <w:r w:rsidR="00F5503E">
        <w:t xml:space="preserve"> İşlemleri” </w:t>
      </w:r>
      <w:r w:rsidR="009A7A6D">
        <w:t xml:space="preserve">menüsünden ulaşılabilir. </w:t>
      </w:r>
    </w:p>
    <w:p w:rsidR="009A7A6D" w:rsidRDefault="00AD52F7" w:rsidP="00535727">
      <w:pPr>
        <w:jc w:val="both"/>
      </w:pPr>
      <w:r>
        <w:t xml:space="preserve">Tüketicilerin sistemde yer alan </w:t>
      </w:r>
      <w:r w:rsidR="009A7A6D">
        <w:t xml:space="preserve">bilgileri sayfada görünecektir. </w:t>
      </w:r>
      <w:r>
        <w:t>Tüketiciler</w:t>
      </w:r>
      <w:r w:rsidR="009A7A6D">
        <w:t xml:space="preserve"> ile ilgili sistem</w:t>
      </w:r>
      <w:r w:rsidR="00AA382E">
        <w:t>d</w:t>
      </w:r>
      <w:r w:rsidR="009A7A6D">
        <w:t>e</w:t>
      </w:r>
      <w:r w:rsidR="00AA382E">
        <w:t xml:space="preserve"> yer alacak</w:t>
      </w:r>
      <w:r w:rsidR="009A7A6D">
        <w:t xml:space="preserve"> bilgilerin listesi aşağıda verilmiştir:</w:t>
      </w:r>
    </w:p>
    <w:p w:rsidR="009A7A6D" w:rsidRDefault="00AD52F7" w:rsidP="00535727">
      <w:pPr>
        <w:pStyle w:val="ListParagraph"/>
        <w:numPr>
          <w:ilvl w:val="0"/>
          <w:numId w:val="3"/>
        </w:numPr>
        <w:jc w:val="both"/>
      </w:pPr>
      <w:r>
        <w:t>Kayıt ID</w:t>
      </w:r>
      <w:r w:rsidR="00AA382E">
        <w:t xml:space="preserve"> (kayıt yapıldıktan sonra sistem otomatik olarak her hareket için benzersiz ID atayacaktır.)</w:t>
      </w:r>
    </w:p>
    <w:p w:rsidR="009A7A6D" w:rsidRDefault="00AD52F7" w:rsidP="00535727">
      <w:pPr>
        <w:pStyle w:val="ListParagraph"/>
        <w:numPr>
          <w:ilvl w:val="0"/>
          <w:numId w:val="3"/>
        </w:numPr>
        <w:jc w:val="both"/>
      </w:pPr>
      <w:r>
        <w:t>Kategori</w:t>
      </w:r>
    </w:p>
    <w:p w:rsidR="009A7A6D" w:rsidRDefault="00AD52F7" w:rsidP="00535727">
      <w:pPr>
        <w:pStyle w:val="ListParagraph"/>
        <w:numPr>
          <w:ilvl w:val="0"/>
          <w:numId w:val="3"/>
        </w:numPr>
        <w:jc w:val="both"/>
      </w:pPr>
      <w:r>
        <w:t>Tüketici No</w:t>
      </w:r>
    </w:p>
    <w:p w:rsidR="009A7A6D" w:rsidRDefault="00AA382E" w:rsidP="00535727">
      <w:pPr>
        <w:pStyle w:val="ListParagraph"/>
        <w:numPr>
          <w:ilvl w:val="0"/>
          <w:numId w:val="3"/>
        </w:numPr>
        <w:jc w:val="both"/>
      </w:pPr>
      <w:r>
        <w:t>Ad Soyad / Ünvan</w:t>
      </w:r>
    </w:p>
    <w:p w:rsidR="00C53890" w:rsidRDefault="00AA382E" w:rsidP="009A7A6D">
      <w:pPr>
        <w:pStyle w:val="ListParagraph"/>
        <w:numPr>
          <w:ilvl w:val="0"/>
          <w:numId w:val="3"/>
        </w:numPr>
      </w:pPr>
      <w:r>
        <w:t>Ölçüm Noktası ID</w:t>
      </w:r>
    </w:p>
    <w:p w:rsidR="00C53890" w:rsidRDefault="00AA382E" w:rsidP="009A7A6D">
      <w:pPr>
        <w:pStyle w:val="ListParagraph"/>
        <w:numPr>
          <w:ilvl w:val="0"/>
          <w:numId w:val="3"/>
        </w:numPr>
      </w:pPr>
      <w:r>
        <w:t>Durum (Kayıt gerçekleştirilince sistem otomatik olarak “Aktif” durumunu atayacaktır.)</w:t>
      </w:r>
    </w:p>
    <w:p w:rsidR="00C53890" w:rsidRDefault="00AA382E" w:rsidP="00D45933">
      <w:pPr>
        <w:pStyle w:val="ListParagraph"/>
        <w:numPr>
          <w:ilvl w:val="0"/>
          <w:numId w:val="3"/>
        </w:numPr>
      </w:pPr>
      <w:r>
        <w:t>Başlangıç Tarihi</w:t>
      </w:r>
    </w:p>
    <w:p w:rsidR="00AA382E" w:rsidRDefault="00AA382E" w:rsidP="00AA382E">
      <w:pPr>
        <w:pStyle w:val="ListParagraph"/>
        <w:numPr>
          <w:ilvl w:val="0"/>
          <w:numId w:val="3"/>
        </w:numPr>
      </w:pPr>
      <w:r>
        <w:t>Bitiş Tarihi</w:t>
      </w:r>
    </w:p>
    <w:p w:rsidR="00AA382E" w:rsidRDefault="00AA382E" w:rsidP="00AA382E">
      <w:pPr>
        <w:pStyle w:val="ListParagraph"/>
        <w:numPr>
          <w:ilvl w:val="0"/>
          <w:numId w:val="3"/>
        </w:numPr>
      </w:pPr>
      <w:r>
        <w:t>1. Yetkili Kişi Kimlik No</w:t>
      </w:r>
    </w:p>
    <w:p w:rsidR="00AA382E" w:rsidRDefault="00AA382E" w:rsidP="00AA382E">
      <w:pPr>
        <w:pStyle w:val="ListParagraph"/>
        <w:numPr>
          <w:ilvl w:val="0"/>
          <w:numId w:val="3"/>
        </w:numPr>
      </w:pPr>
      <w:r>
        <w:t>1. Yetkili Kişi Adı</w:t>
      </w:r>
    </w:p>
    <w:p w:rsidR="00AA382E" w:rsidRDefault="00AA382E" w:rsidP="00AA382E">
      <w:pPr>
        <w:pStyle w:val="ListParagraph"/>
        <w:numPr>
          <w:ilvl w:val="0"/>
          <w:numId w:val="3"/>
        </w:numPr>
      </w:pPr>
      <w:r>
        <w:t>2. Yetkili Kişi Kimlik No</w:t>
      </w:r>
    </w:p>
    <w:p w:rsidR="00AA382E" w:rsidRDefault="00AA382E" w:rsidP="00AA382E">
      <w:pPr>
        <w:pStyle w:val="ListParagraph"/>
        <w:numPr>
          <w:ilvl w:val="0"/>
          <w:numId w:val="3"/>
        </w:numPr>
      </w:pPr>
      <w:r>
        <w:t>2. Yetkili Kişi Adı</w:t>
      </w:r>
    </w:p>
    <w:p w:rsidR="00AA382E" w:rsidRDefault="00AA382E" w:rsidP="00AA382E">
      <w:pPr>
        <w:pStyle w:val="ListParagraph"/>
        <w:numPr>
          <w:ilvl w:val="0"/>
          <w:numId w:val="3"/>
        </w:numPr>
      </w:pPr>
      <w:r>
        <w:t>Kayıt Tarihi (Kayıt gerçekleştirilme tarihidir, sistem otomatik olarak atayacaktır.)</w:t>
      </w:r>
    </w:p>
    <w:p w:rsidR="00AA382E" w:rsidRDefault="00AA382E" w:rsidP="00AA382E">
      <w:pPr>
        <w:pStyle w:val="ListParagraph"/>
        <w:numPr>
          <w:ilvl w:val="0"/>
          <w:numId w:val="3"/>
        </w:numPr>
      </w:pPr>
      <w:r>
        <w:t>Kaydeden Kullanıcı (Kayıt yapan kullanıcıdır, sistem otomatik olarak atayacaktır.)</w:t>
      </w:r>
    </w:p>
    <w:p w:rsidR="00C53890" w:rsidRDefault="00AA382E" w:rsidP="00535727">
      <w:pPr>
        <w:jc w:val="both"/>
      </w:pPr>
      <w:r>
        <w:t>Tüketici kaydı gerçekleştirmek için “Yeni” butonuna tıklanır. Açılan “Abone Hareket Giriş/Güncelleme Ekranı”’nda giriş için alanlar bulunmaktadır.</w:t>
      </w:r>
    </w:p>
    <w:p w:rsidR="00AA382E" w:rsidRDefault="00AA382E" w:rsidP="00535727">
      <w:pPr>
        <w:jc w:val="both"/>
      </w:pPr>
    </w:p>
    <w:p w:rsidR="00AA382E" w:rsidRDefault="00FC59F9" w:rsidP="00FC59F9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4907C385" wp14:editId="7F8031B2">
            <wp:extent cx="5760720" cy="1889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2E" w:rsidRPr="00FC59F9" w:rsidRDefault="00FC59F9" w:rsidP="00FC59F9">
      <w:pPr>
        <w:jc w:val="center"/>
        <w:rPr>
          <w:b/>
        </w:rPr>
      </w:pPr>
      <w:r w:rsidRPr="00FC59F9">
        <w:rPr>
          <w:b/>
        </w:rPr>
        <w:t>Abone Hareket Kayıt Ekranı</w:t>
      </w:r>
    </w:p>
    <w:p w:rsidR="00AA382E" w:rsidRDefault="00FC59F9" w:rsidP="00535727">
      <w:pPr>
        <w:jc w:val="both"/>
      </w:pPr>
      <w:r>
        <w:t>Tedarikçiler portföylerinde yer alan tüketicileri kaydederken aşağıdaki verileri kaydetmek zorundadır:</w:t>
      </w:r>
    </w:p>
    <w:p w:rsidR="00FC59F9" w:rsidRDefault="00FC59F9" w:rsidP="00FC59F9">
      <w:pPr>
        <w:pStyle w:val="ListParagraph"/>
        <w:numPr>
          <w:ilvl w:val="0"/>
          <w:numId w:val="17"/>
        </w:numPr>
        <w:jc w:val="both"/>
      </w:pPr>
      <w:r>
        <w:t>Ölçüm noktası ID</w:t>
      </w:r>
    </w:p>
    <w:p w:rsidR="00FC59F9" w:rsidRDefault="00FC59F9" w:rsidP="00FC59F9">
      <w:pPr>
        <w:pStyle w:val="ListParagraph"/>
        <w:numPr>
          <w:ilvl w:val="0"/>
          <w:numId w:val="17"/>
        </w:numPr>
        <w:jc w:val="both"/>
      </w:pPr>
      <w:r>
        <w:t>Kategori</w:t>
      </w:r>
    </w:p>
    <w:p w:rsidR="00FC59F9" w:rsidRDefault="00FC59F9" w:rsidP="00FC59F9">
      <w:pPr>
        <w:pStyle w:val="ListParagraph"/>
        <w:numPr>
          <w:ilvl w:val="0"/>
          <w:numId w:val="17"/>
        </w:numPr>
        <w:jc w:val="both"/>
      </w:pPr>
      <w:r>
        <w:t>Tüketici No</w:t>
      </w:r>
    </w:p>
    <w:p w:rsidR="00FC59F9" w:rsidRDefault="00FC59F9" w:rsidP="00FC59F9">
      <w:pPr>
        <w:pStyle w:val="ListParagraph"/>
        <w:numPr>
          <w:ilvl w:val="0"/>
          <w:numId w:val="17"/>
        </w:numPr>
        <w:jc w:val="both"/>
      </w:pPr>
      <w:r>
        <w:t>Ad Soyad / Unvan</w:t>
      </w:r>
    </w:p>
    <w:p w:rsidR="00FC59F9" w:rsidRDefault="00FC59F9" w:rsidP="00FC59F9">
      <w:pPr>
        <w:pStyle w:val="ListParagraph"/>
        <w:numPr>
          <w:ilvl w:val="0"/>
          <w:numId w:val="17"/>
        </w:numPr>
        <w:jc w:val="both"/>
      </w:pPr>
      <w:r>
        <w:t>Başlangıç Tarihi</w:t>
      </w:r>
    </w:p>
    <w:p w:rsidR="00FC59F9" w:rsidRDefault="00FC59F9" w:rsidP="00FC59F9">
      <w:pPr>
        <w:pStyle w:val="ListParagraph"/>
        <w:numPr>
          <w:ilvl w:val="0"/>
          <w:numId w:val="17"/>
        </w:numPr>
        <w:jc w:val="both"/>
      </w:pPr>
      <w:r>
        <w:t>İABF (IA-02) işaretlenmelidir.</w:t>
      </w:r>
    </w:p>
    <w:p w:rsidR="00FC59F9" w:rsidRPr="00FC59F9" w:rsidRDefault="00FC59F9" w:rsidP="00FC59F9">
      <w:pPr>
        <w:spacing w:after="0" w:line="240" w:lineRule="auto"/>
      </w:pPr>
      <w:r w:rsidRPr="00FC59F9">
        <w:t>“Tüketici No” alanına TCKN</w:t>
      </w:r>
      <w:r w:rsidR="00313EB9">
        <w:t xml:space="preserve"> ve</w:t>
      </w:r>
      <w:r w:rsidRPr="00FC59F9">
        <w:t xml:space="preserve"> VKN bilgileri kaydedilecektir.</w:t>
      </w:r>
    </w:p>
    <w:p w:rsidR="00FC59F9" w:rsidRPr="00FC59F9" w:rsidRDefault="00FC59F9" w:rsidP="00FC59F9">
      <w:pPr>
        <w:spacing w:after="0" w:line="240" w:lineRule="auto"/>
      </w:pPr>
    </w:p>
    <w:p w:rsidR="00FC59F9" w:rsidRPr="00FC59F9" w:rsidRDefault="00FC59F9" w:rsidP="00FC59F9">
      <w:pPr>
        <w:jc w:val="both"/>
      </w:pPr>
      <w:r w:rsidRPr="00FC59F9">
        <w:t xml:space="preserve">“Tüketici Kategorisi” alanı </w:t>
      </w:r>
      <w:r>
        <w:t xml:space="preserve">“Gerçek” ve </w:t>
      </w:r>
      <w:r w:rsidRPr="00FC59F9">
        <w:t>“Yabancı” olarak seçildiğinde “TC Kimlik No” girilmesi zorunlu alan olacaktır.</w:t>
      </w:r>
      <w:r>
        <w:t xml:space="preserve"> </w:t>
      </w:r>
      <w:r w:rsidRPr="00FC59F9">
        <w:t>“Kamu”, “Özel Şirket” ve “Diğer Kuruluşlar” seçenekleri seçildiğinde “Vergi</w:t>
      </w:r>
      <w:r w:rsidR="00313EB9">
        <w:t xml:space="preserve"> Kimlik</w:t>
      </w:r>
      <w:r w:rsidRPr="00FC59F9">
        <w:t xml:space="preserve"> No” girilmesi zorunlu olacaktır. Girilen bilgiler format olarak uygun değilse sistem hata mesajı verecek ve kayıt yapmayacaktır.</w:t>
      </w:r>
    </w:p>
    <w:p w:rsidR="00AA382E" w:rsidRDefault="00FC59F9" w:rsidP="00535727">
      <w:pPr>
        <w:jc w:val="both"/>
      </w:pPr>
      <w:r w:rsidRPr="00FC59F9">
        <w:t>“Kamu”, “Özel Şirket” ve “Diğer Kuruluşlar”</w:t>
      </w:r>
      <w:r>
        <w:t xml:space="preserve"> için “1. Yetkili Kişi Kimlik No” ve “1. Yetkili Kişi Adı” alanları doldurulmak zorundadır. “2. Yetkili Kişi Kimlik No” ve “2. Yetkili Kişi Adı”</w:t>
      </w:r>
      <w:r w:rsidR="00C70D1B">
        <w:t xml:space="preserve"> zorunlu alanlar değildir.</w:t>
      </w:r>
    </w:p>
    <w:p w:rsidR="00C70D1B" w:rsidRDefault="00C70D1B" w:rsidP="00535727">
      <w:pPr>
        <w:jc w:val="both"/>
      </w:pPr>
      <w:r>
        <w:t xml:space="preserve">Bitiş tarihi zorunlu alan değildir; boş bırakılması tüketicinin söz konusu ölçüm noktasında bulunduğunu belirtir. </w:t>
      </w:r>
    </w:p>
    <w:p w:rsidR="00C70D1B" w:rsidRDefault="00C70D1B" w:rsidP="00535727">
      <w:pPr>
        <w:jc w:val="both"/>
      </w:pPr>
      <w:r>
        <w:t>Başlangıç tar</w:t>
      </w:r>
      <w:r w:rsidR="00DA7440">
        <w:t>ihine 1 Ocak 2017</w:t>
      </w:r>
      <w:r>
        <w:t xml:space="preserve"> önceki bir tarih girilemeyecektir. Tedarik organizasyonu kullanıcıları söz konusu tarihten önce başlayan aboneliklerin başlangıç tarihini 1 </w:t>
      </w:r>
      <w:r w:rsidR="00DA7440">
        <w:t>Ocak 2017</w:t>
      </w:r>
      <w:bookmarkStart w:id="0" w:name="_GoBack"/>
      <w:bookmarkEnd w:id="0"/>
      <w:r>
        <w:t xml:space="preserve"> olarak kaydedebilir.</w:t>
      </w:r>
    </w:p>
    <w:p w:rsidR="00023D9C" w:rsidRDefault="00023D9C" w:rsidP="00535727">
      <w:pPr>
        <w:jc w:val="both"/>
      </w:pPr>
      <w:r>
        <w:t>Güncelleme yapmak için “Abonelik Hareket Listeleme Ekranı”’nda ilgili tüketici bilgilerinin olduğu satırda “Güncelle” butonuna tıklanır. Açılan sayfada tüketici bilgileri güncellenebilir.</w:t>
      </w:r>
    </w:p>
    <w:p w:rsidR="00023D9C" w:rsidRDefault="00023D9C" w:rsidP="00023D9C">
      <w:pPr>
        <w:jc w:val="center"/>
      </w:pPr>
      <w:r>
        <w:rPr>
          <w:noProof/>
          <w:lang w:eastAsia="tr-TR"/>
        </w:rPr>
        <w:drawing>
          <wp:inline distT="0" distB="0" distL="0" distR="0" wp14:anchorId="1C11EE95" wp14:editId="60603C4D">
            <wp:extent cx="2057400" cy="1590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933" w:rsidRPr="00313EB9" w:rsidRDefault="00023D9C" w:rsidP="00023D9C">
      <w:pPr>
        <w:jc w:val="center"/>
        <w:rPr>
          <w:b/>
        </w:rPr>
      </w:pPr>
      <w:r w:rsidRPr="00313EB9">
        <w:rPr>
          <w:b/>
        </w:rPr>
        <w:t>“Güncelle Butonu”</w:t>
      </w:r>
    </w:p>
    <w:p w:rsidR="00023D9C" w:rsidRDefault="00023D9C" w:rsidP="00023D9C">
      <w:pPr>
        <w:jc w:val="both"/>
      </w:pPr>
      <w:r>
        <w:lastRenderedPageBreak/>
        <w:t>Açılan sayfada aşağıdaki bilgiler dışında tüm alanlar güncellenebilir:</w:t>
      </w:r>
    </w:p>
    <w:p w:rsidR="00023D9C" w:rsidRDefault="00023D9C" w:rsidP="00023D9C">
      <w:pPr>
        <w:pStyle w:val="ListParagraph"/>
        <w:numPr>
          <w:ilvl w:val="0"/>
          <w:numId w:val="19"/>
        </w:numPr>
        <w:jc w:val="both"/>
      </w:pPr>
      <w:r>
        <w:t>Ölçüm Noktası ID</w:t>
      </w:r>
    </w:p>
    <w:p w:rsidR="00023D9C" w:rsidRDefault="00023D9C" w:rsidP="00023D9C">
      <w:pPr>
        <w:pStyle w:val="ListParagraph"/>
        <w:numPr>
          <w:ilvl w:val="0"/>
          <w:numId w:val="19"/>
        </w:numPr>
        <w:jc w:val="both"/>
      </w:pPr>
      <w:r>
        <w:t>Kategori</w:t>
      </w:r>
    </w:p>
    <w:p w:rsidR="00023D9C" w:rsidRDefault="00023D9C" w:rsidP="00023D9C">
      <w:pPr>
        <w:pStyle w:val="ListParagraph"/>
        <w:numPr>
          <w:ilvl w:val="0"/>
          <w:numId w:val="19"/>
        </w:numPr>
        <w:jc w:val="both"/>
      </w:pPr>
      <w:r>
        <w:t>Tüketici No</w:t>
      </w:r>
    </w:p>
    <w:p w:rsidR="00023D9C" w:rsidRDefault="00023D9C" w:rsidP="00023D9C">
      <w:pPr>
        <w:pStyle w:val="ListParagraph"/>
        <w:numPr>
          <w:ilvl w:val="0"/>
          <w:numId w:val="19"/>
        </w:numPr>
        <w:jc w:val="both"/>
      </w:pPr>
      <w:r>
        <w:t>Durum</w:t>
      </w:r>
    </w:p>
    <w:p w:rsidR="00023D9C" w:rsidRDefault="00023D9C" w:rsidP="00023D9C">
      <w:pPr>
        <w:jc w:val="both"/>
      </w:pPr>
      <w:r>
        <w:t>Sö</w:t>
      </w:r>
      <w:r w:rsidR="001344A1">
        <w:t>z konusu bilgilerde güncelleme yapılmak istenirse ilgili kaydın pasife alınması ve doğru kaydın girilmesi gerekmektedir.</w:t>
      </w:r>
    </w:p>
    <w:p w:rsidR="00023D9C" w:rsidRPr="00023D9C" w:rsidRDefault="00023D9C" w:rsidP="00023D9C">
      <w:pPr>
        <w:pStyle w:val="ListParagraph"/>
        <w:jc w:val="both"/>
      </w:pPr>
    </w:p>
    <w:p w:rsidR="00C70D1B" w:rsidRDefault="00C70D1B" w:rsidP="00C70D1B">
      <w:pPr>
        <w:pStyle w:val="ListParagraph"/>
        <w:numPr>
          <w:ilvl w:val="0"/>
          <w:numId w:val="18"/>
        </w:numPr>
        <w:jc w:val="both"/>
      </w:pPr>
      <w:r w:rsidRPr="00C70D1B">
        <w:rPr>
          <w:u w:val="single"/>
        </w:rPr>
        <w:t>Excel Şablonu ile Kayıt</w:t>
      </w:r>
      <w:r w:rsidR="00023D9C">
        <w:rPr>
          <w:u w:val="single"/>
        </w:rPr>
        <w:t>&amp;Güncelleme</w:t>
      </w:r>
      <w:r>
        <w:t>:</w:t>
      </w:r>
    </w:p>
    <w:p w:rsidR="00C70D1B" w:rsidRDefault="00C70D1B" w:rsidP="00C70D1B">
      <w:pPr>
        <w:jc w:val="both"/>
      </w:pPr>
      <w:r>
        <w:t xml:space="preserve">Tüketici bilgileri aşağıdaki Excel şablonu ile kayıt edilebilir. </w:t>
      </w:r>
    </w:p>
    <w:p w:rsidR="00D45933" w:rsidRDefault="00C70D1B" w:rsidP="00C70D1B">
      <w:pPr>
        <w:jc w:val="both"/>
      </w:pPr>
      <w:r>
        <w:t>Excel şablonunda “</w:t>
      </w:r>
      <w:r w:rsidRPr="00C70D1B">
        <w:t>AboneHareketID</w:t>
      </w:r>
      <w:r>
        <w:t>” kolonu boş olan satırlar yeni tüketici kaydı</w:t>
      </w:r>
      <w:r w:rsidR="00D45933">
        <w:t xml:space="preserve"> işlemi anlamına gelmektedir. Daha önce sistem tarafından atanmış ID “</w:t>
      </w:r>
      <w:r w:rsidR="00D45933" w:rsidRPr="00D45933">
        <w:t>AboneHareketID</w:t>
      </w:r>
      <w:r w:rsidR="00D45933">
        <w:t xml:space="preserve">” kolonuna yazılırsa, yazılan ID’nin işaret ettiği abonelik kaydı Excel’deki veriler ile güncellenir. </w:t>
      </w:r>
    </w:p>
    <w:p w:rsidR="00C70D1B" w:rsidRDefault="00B50531" w:rsidP="00C70D1B">
      <w:pPr>
        <w:jc w:val="both"/>
      </w:pPr>
      <w: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3pt" o:ole="">
            <v:imagedata r:id="rId11" o:title=""/>
          </v:shape>
          <o:OLEObject Type="Embed" ProgID="Excel.Sheet.8" ShapeID="_x0000_i1025" DrawAspect="Icon" ObjectID="_1544942650" r:id="rId12"/>
        </w:object>
      </w:r>
    </w:p>
    <w:p w:rsidR="0030696B" w:rsidRDefault="00B50531" w:rsidP="00C70D1B">
      <w:pPr>
        <w:jc w:val="both"/>
      </w:pPr>
      <w:r>
        <w:t>Diğer Excel dosyası tüketici kaydında kullanılan alanlardaki referans tabloları içermektedir.</w:t>
      </w:r>
    </w:p>
    <w:p w:rsidR="0030696B" w:rsidRDefault="0030696B" w:rsidP="00C70D1B">
      <w:pPr>
        <w:jc w:val="both"/>
      </w:pPr>
      <w:r>
        <w:object w:dxaOrig="1543" w:dyaOrig="1000">
          <v:shape id="_x0000_i1026" type="#_x0000_t75" style="width:77.25pt;height:50.3pt" o:ole="">
            <v:imagedata r:id="rId13" o:title=""/>
          </v:shape>
          <o:OLEObject Type="Embed" ProgID="Excel.Sheet.12" ShapeID="_x0000_i1026" DrawAspect="Icon" ObjectID="_1544942651" r:id="rId14"/>
        </w:object>
      </w:r>
    </w:p>
    <w:p w:rsidR="00AA382E" w:rsidRDefault="00D45933" w:rsidP="00535727">
      <w:pPr>
        <w:jc w:val="both"/>
      </w:pPr>
      <w:r>
        <w:t>Excel şablonları ile kayıt yapmak için “Abonelik Hareket Listeme Ekranı”’nda “Toplu Kaydet/Güncelle” butonuna tıklanır. Açılan sayfada Excel dosyasını seçmek ve yüklemek için butonlar yer almaktadır.</w:t>
      </w:r>
    </w:p>
    <w:p w:rsidR="00D45933" w:rsidRDefault="00D45933" w:rsidP="00535727">
      <w:pPr>
        <w:jc w:val="both"/>
      </w:pPr>
      <w:r>
        <w:rPr>
          <w:noProof/>
          <w:lang w:eastAsia="tr-TR"/>
        </w:rPr>
        <w:drawing>
          <wp:inline distT="0" distB="0" distL="0" distR="0" wp14:anchorId="352DC6D0" wp14:editId="2F3A24A9">
            <wp:extent cx="4886325" cy="2266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933" w:rsidRPr="00D45933" w:rsidRDefault="00D45933" w:rsidP="00D45933">
      <w:pPr>
        <w:jc w:val="center"/>
        <w:rPr>
          <w:b/>
        </w:rPr>
      </w:pPr>
      <w:r w:rsidRPr="00D45933">
        <w:rPr>
          <w:b/>
        </w:rPr>
        <w:t>Excel ile Kayıt Ekranı</w:t>
      </w:r>
    </w:p>
    <w:p w:rsidR="00AA382E" w:rsidRDefault="00D45933" w:rsidP="00535727">
      <w:pPr>
        <w:jc w:val="both"/>
      </w:pPr>
      <w:r>
        <w:t>Excel yüklemelerinde, kullanılan dosyanın büyüklüğü 2000 KB sınırını geçmemelidir.</w:t>
      </w:r>
    </w:p>
    <w:p w:rsidR="003D7ADD" w:rsidRDefault="003D7ADD" w:rsidP="00535727">
      <w:pPr>
        <w:jc w:val="both"/>
      </w:pPr>
    </w:p>
    <w:p w:rsidR="00D45933" w:rsidRDefault="00D45933" w:rsidP="00535727">
      <w:pPr>
        <w:jc w:val="both"/>
      </w:pPr>
    </w:p>
    <w:p w:rsidR="00D45933" w:rsidRDefault="00D45933" w:rsidP="00D45933">
      <w:pPr>
        <w:pStyle w:val="ListParagraph"/>
        <w:numPr>
          <w:ilvl w:val="0"/>
          <w:numId w:val="18"/>
        </w:numPr>
        <w:jc w:val="both"/>
      </w:pPr>
      <w:r w:rsidRPr="00D45933">
        <w:rPr>
          <w:u w:val="single"/>
        </w:rPr>
        <w:lastRenderedPageBreak/>
        <w:t>Web Servis ile Kayıt</w:t>
      </w:r>
      <w:r w:rsidR="00023D9C">
        <w:rPr>
          <w:u w:val="single"/>
        </w:rPr>
        <w:t>&amp;Güncelleme</w:t>
      </w:r>
      <w:r>
        <w:t>:</w:t>
      </w:r>
    </w:p>
    <w:p w:rsidR="001344A1" w:rsidRDefault="00A07C92" w:rsidP="00A07C92">
      <w:pPr>
        <w:jc w:val="both"/>
      </w:pPr>
      <w:r>
        <w:t>Web servis teknik dokümanlarında yer alan yönlendirmeler takip edilerek tüketici bilgileri</w:t>
      </w:r>
      <w:r w:rsidR="00023D9C">
        <w:t xml:space="preserve"> kaydı ve güncellemesi </w:t>
      </w:r>
      <w:r>
        <w:t xml:space="preserve">yapılabilir. </w:t>
      </w:r>
    </w:p>
    <w:p w:rsidR="001344A1" w:rsidRDefault="001344A1" w:rsidP="00A07C92">
      <w:pPr>
        <w:jc w:val="both"/>
      </w:pPr>
      <w:r w:rsidRPr="001344A1">
        <w:rPr>
          <w:b/>
          <w:u w:val="single"/>
        </w:rPr>
        <w:t>Tüketici Kaydı Pasife Alma</w:t>
      </w:r>
      <w:r w:rsidR="00313EB9">
        <w:rPr>
          <w:b/>
          <w:u w:val="single"/>
        </w:rPr>
        <w:t xml:space="preserve"> (İptal Etme)</w:t>
      </w:r>
      <w:r>
        <w:t>:</w:t>
      </w:r>
    </w:p>
    <w:p w:rsidR="00313EB9" w:rsidRDefault="001344A1" w:rsidP="00A07C92">
      <w:pPr>
        <w:jc w:val="both"/>
      </w:pPr>
      <w:r>
        <w:t xml:space="preserve">Hatalı olarak kaydedilen tüketici bilgilerinin sistemde “Pasif” durumuna getirilmesi gerekmektedir. “Pasif” durumuna getirilen kayıtlar </w:t>
      </w:r>
      <w:r w:rsidR="00313EB9">
        <w:t>yeniden “Aktif” duruma getirilemez.</w:t>
      </w:r>
    </w:p>
    <w:p w:rsidR="00313EB9" w:rsidRDefault="00313EB9" w:rsidP="00313EB9">
      <w:pPr>
        <w:pStyle w:val="ListParagraph"/>
        <w:numPr>
          <w:ilvl w:val="0"/>
          <w:numId w:val="20"/>
        </w:numPr>
        <w:jc w:val="both"/>
      </w:pPr>
      <w:r w:rsidRPr="00313EB9">
        <w:rPr>
          <w:u w:val="single"/>
        </w:rPr>
        <w:t>PYS Ekranları ile Pasife Alma</w:t>
      </w:r>
      <w:r>
        <w:t>:</w:t>
      </w:r>
    </w:p>
    <w:p w:rsidR="00313EB9" w:rsidRDefault="00313EB9" w:rsidP="00313EB9">
      <w:pPr>
        <w:jc w:val="both"/>
      </w:pPr>
      <w:r>
        <w:t>Tüketici kaydını pasife almak için “Abonelik Hareket Listeleme Ekranı”’nda ilgili tüketici bilgilerinin olduğu satırda “Güncelle” butonuna tıklanır. Açılan sayfada tüketici bilgileri güncellenebilir.</w:t>
      </w:r>
    </w:p>
    <w:p w:rsidR="00313EB9" w:rsidRDefault="00313EB9" w:rsidP="00313EB9">
      <w:pPr>
        <w:jc w:val="center"/>
      </w:pPr>
      <w:r>
        <w:rPr>
          <w:noProof/>
          <w:lang w:eastAsia="tr-TR"/>
        </w:rPr>
        <w:drawing>
          <wp:inline distT="0" distB="0" distL="0" distR="0" wp14:anchorId="496EDC57" wp14:editId="3D07DC7C">
            <wp:extent cx="2057400" cy="1590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B9" w:rsidRPr="00313EB9" w:rsidRDefault="00313EB9" w:rsidP="00313EB9">
      <w:pPr>
        <w:jc w:val="center"/>
        <w:rPr>
          <w:b/>
        </w:rPr>
      </w:pPr>
      <w:r w:rsidRPr="00313EB9">
        <w:rPr>
          <w:b/>
        </w:rPr>
        <w:t>“Güncelle Butonu”</w:t>
      </w:r>
    </w:p>
    <w:p w:rsidR="00313EB9" w:rsidRDefault="00313EB9" w:rsidP="00A07C92">
      <w:pPr>
        <w:jc w:val="both"/>
      </w:pPr>
      <w:r>
        <w:t>Açılan sayfada “Pasif Yap” butonuna tıklanınca çıkan pop-up’taki soruya “Tamam” yanıtı verilince tüketici kaydı pasife alınmış olunacaktır.</w:t>
      </w:r>
    </w:p>
    <w:p w:rsidR="00313EB9" w:rsidRDefault="00313EB9" w:rsidP="00A07C92">
      <w:pPr>
        <w:jc w:val="both"/>
      </w:pPr>
      <w:r>
        <w:rPr>
          <w:noProof/>
          <w:lang w:eastAsia="tr-TR"/>
        </w:rPr>
        <w:drawing>
          <wp:inline distT="0" distB="0" distL="0" distR="0" wp14:anchorId="70BD317A" wp14:editId="5D527A7D">
            <wp:extent cx="5760720" cy="18135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933" w:rsidRPr="00313EB9" w:rsidRDefault="00313EB9" w:rsidP="00313EB9">
      <w:pPr>
        <w:jc w:val="center"/>
        <w:rPr>
          <w:b/>
        </w:rPr>
      </w:pPr>
      <w:r w:rsidRPr="00313EB9">
        <w:rPr>
          <w:b/>
        </w:rPr>
        <w:t>Tüketici Kaydı Pasife Alma</w:t>
      </w:r>
    </w:p>
    <w:p w:rsidR="00313EB9" w:rsidRDefault="00313EB9" w:rsidP="00535727">
      <w:pPr>
        <w:jc w:val="both"/>
      </w:pPr>
    </w:p>
    <w:p w:rsidR="00313EB9" w:rsidRDefault="00313EB9" w:rsidP="00313EB9">
      <w:pPr>
        <w:pStyle w:val="ListParagraph"/>
        <w:numPr>
          <w:ilvl w:val="0"/>
          <w:numId w:val="20"/>
        </w:numPr>
        <w:jc w:val="both"/>
      </w:pPr>
      <w:r w:rsidRPr="00313EB9">
        <w:rPr>
          <w:u w:val="single"/>
        </w:rPr>
        <w:t>Excel Şablonu ile Pasife Alma</w:t>
      </w:r>
      <w:r>
        <w:t>:</w:t>
      </w:r>
    </w:p>
    <w:p w:rsidR="00313EB9" w:rsidRDefault="00313EB9" w:rsidP="00313EB9">
      <w:pPr>
        <w:jc w:val="both"/>
      </w:pPr>
      <w:r>
        <w:t xml:space="preserve">Kayıt için kullanılan Excel şablonu ile pasife alma işlemi gerçekleştirilebilir. </w:t>
      </w:r>
    </w:p>
    <w:p w:rsidR="00313EB9" w:rsidRDefault="00006926" w:rsidP="00313EB9">
      <w:pPr>
        <w:jc w:val="both"/>
      </w:pPr>
      <w:r>
        <w:t xml:space="preserve">Tüketici bilgileri kaydını pasife almak için, pasife alınmak istenen tüketici kaydı ID’sini “AboneHareketID” kolonuna yazmak gerekmektedir. Ardından, </w:t>
      </w:r>
      <w:r w:rsidR="00313EB9">
        <w:t xml:space="preserve">Excel şablonunda yer alan “Durum” kolonuna “0” veya “0-Pasif” yazılarak ilgili tüketici bilgileri kaydı pasife alınacaktır. </w:t>
      </w:r>
    </w:p>
    <w:p w:rsidR="009C20CC" w:rsidRDefault="009C20CC" w:rsidP="00313EB9">
      <w:pPr>
        <w:jc w:val="both"/>
      </w:pPr>
      <w:r>
        <w:t>Aynı Excel dosyası içerisinde durum kolonunda farklı satırlarda hem “Aktif” hem de “Pasif” değerleri bulunamaz. Bu kurala uygun olmayan Excel dosyaları yüklenirse sistem</w:t>
      </w:r>
      <w:r w:rsidR="0030696B">
        <w:t xml:space="preserve"> “</w:t>
      </w:r>
      <w:r w:rsidR="0030696B">
        <w:rPr>
          <w:color w:val="000000"/>
          <w:sz w:val="24"/>
          <w:szCs w:val="24"/>
          <w:lang w:eastAsia="tr-TR"/>
        </w:rPr>
        <w:t xml:space="preserve">“Yeni kayıt / güncelleme ve </w:t>
      </w:r>
      <w:r w:rsidR="0030696B">
        <w:rPr>
          <w:color w:val="000000"/>
          <w:sz w:val="24"/>
          <w:szCs w:val="24"/>
          <w:lang w:eastAsia="tr-TR"/>
        </w:rPr>
        <w:lastRenderedPageBreak/>
        <w:t>kaydı pasife alma işlemi aynı excel dosyası ile yapılamaz!”</w:t>
      </w:r>
      <w:r>
        <w:t xml:space="preserve"> hata</w:t>
      </w:r>
      <w:r w:rsidR="0030696B">
        <w:t>sını</w:t>
      </w:r>
      <w:r>
        <w:t xml:space="preserve"> verecek ve işlem gerçekleştirilmeyecektir.</w:t>
      </w:r>
    </w:p>
    <w:p w:rsidR="00313EB9" w:rsidRDefault="00006926" w:rsidP="00006926">
      <w:pPr>
        <w:pStyle w:val="ListParagraph"/>
        <w:numPr>
          <w:ilvl w:val="0"/>
          <w:numId w:val="20"/>
        </w:numPr>
        <w:jc w:val="both"/>
      </w:pPr>
      <w:r w:rsidRPr="00006926">
        <w:rPr>
          <w:u w:val="single"/>
        </w:rPr>
        <w:t>Web Servis ile Pasife Alma</w:t>
      </w:r>
      <w:r>
        <w:t>:</w:t>
      </w:r>
    </w:p>
    <w:p w:rsidR="00006926" w:rsidRDefault="00006926" w:rsidP="00006926">
      <w:pPr>
        <w:jc w:val="both"/>
      </w:pPr>
      <w:r>
        <w:t>Web servis teknik dokümanlarında yer alan yönlendirmeler takip edilerek tüketici bilgileri pasife alınabilir.</w:t>
      </w:r>
    </w:p>
    <w:p w:rsidR="00006926" w:rsidRDefault="00006926" w:rsidP="00006926">
      <w:pPr>
        <w:jc w:val="both"/>
      </w:pPr>
    </w:p>
    <w:p w:rsidR="00006926" w:rsidRDefault="00006926" w:rsidP="00006926">
      <w:pPr>
        <w:jc w:val="both"/>
      </w:pPr>
      <w:r w:rsidRPr="001344A1">
        <w:rPr>
          <w:b/>
          <w:u w:val="single"/>
        </w:rPr>
        <w:t xml:space="preserve">Tüketici Kaydı </w:t>
      </w:r>
      <w:r>
        <w:rPr>
          <w:b/>
          <w:u w:val="single"/>
        </w:rPr>
        <w:t>Listeleme</w:t>
      </w:r>
      <w:r>
        <w:t>:</w:t>
      </w:r>
    </w:p>
    <w:p w:rsidR="00006926" w:rsidRDefault="00006926" w:rsidP="00006926">
      <w:pPr>
        <w:jc w:val="both"/>
      </w:pPr>
    </w:p>
    <w:p w:rsidR="009A7A6D" w:rsidRDefault="00AA382E" w:rsidP="00535727">
      <w:pPr>
        <w:jc w:val="both"/>
      </w:pPr>
      <w:r>
        <w:t>“Abonelik Hareket Listeleme Ekranı” içinde</w:t>
      </w:r>
      <w:r w:rsidR="009A7A6D">
        <w:t xml:space="preserve"> çeşitli kriterler kullanılarak sorgulama yapılabilir. Aşağıdaki kriterler kullanıcılar tarafından seçilebilir:</w:t>
      </w:r>
    </w:p>
    <w:p w:rsidR="009A7A6D" w:rsidRDefault="00006926" w:rsidP="00535727">
      <w:pPr>
        <w:pStyle w:val="ListParagraph"/>
        <w:numPr>
          <w:ilvl w:val="0"/>
          <w:numId w:val="2"/>
        </w:numPr>
        <w:jc w:val="both"/>
      </w:pPr>
      <w:r>
        <w:t>Tüketici No</w:t>
      </w:r>
    </w:p>
    <w:p w:rsidR="00006926" w:rsidRDefault="00006926" w:rsidP="00535727">
      <w:pPr>
        <w:pStyle w:val="ListParagraph"/>
        <w:numPr>
          <w:ilvl w:val="0"/>
          <w:numId w:val="2"/>
        </w:numPr>
        <w:jc w:val="both"/>
      </w:pPr>
      <w:r>
        <w:t>Kategori</w:t>
      </w:r>
    </w:p>
    <w:p w:rsidR="009A7A6D" w:rsidRDefault="009A7A6D" w:rsidP="00535727">
      <w:pPr>
        <w:pStyle w:val="ListParagraph"/>
        <w:numPr>
          <w:ilvl w:val="0"/>
          <w:numId w:val="2"/>
        </w:numPr>
        <w:jc w:val="both"/>
      </w:pPr>
      <w:r>
        <w:t>Ölçüm Noktası ID</w:t>
      </w:r>
    </w:p>
    <w:p w:rsidR="00006926" w:rsidRDefault="00006926" w:rsidP="00535727">
      <w:pPr>
        <w:pStyle w:val="ListParagraph"/>
        <w:numPr>
          <w:ilvl w:val="0"/>
          <w:numId w:val="2"/>
        </w:numPr>
        <w:jc w:val="both"/>
      </w:pPr>
      <w:r>
        <w:t>Kayıt ID</w:t>
      </w:r>
    </w:p>
    <w:p w:rsidR="009A7A6D" w:rsidRDefault="009A7A6D" w:rsidP="00535727">
      <w:pPr>
        <w:pStyle w:val="ListParagraph"/>
        <w:numPr>
          <w:ilvl w:val="0"/>
          <w:numId w:val="2"/>
        </w:numPr>
        <w:jc w:val="both"/>
      </w:pPr>
      <w:r>
        <w:t>Durum</w:t>
      </w:r>
    </w:p>
    <w:p w:rsidR="0001159B" w:rsidRDefault="005A0398" w:rsidP="0001159B">
      <w:r>
        <w:rPr>
          <w:noProof/>
          <w:lang w:eastAsia="tr-TR"/>
        </w:rPr>
        <w:drawing>
          <wp:inline distT="0" distB="0" distL="0" distR="0" wp14:anchorId="2CA1CC6B" wp14:editId="4BE24578">
            <wp:extent cx="5760720" cy="1308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0AF" w:rsidRPr="00F5503E" w:rsidRDefault="00006926" w:rsidP="00F5503E">
      <w:pPr>
        <w:jc w:val="center"/>
        <w:rPr>
          <w:b/>
        </w:rPr>
      </w:pPr>
      <w:r>
        <w:rPr>
          <w:b/>
        </w:rPr>
        <w:t>Abonelik Hareket Listeleme</w:t>
      </w:r>
      <w:r w:rsidR="00F5503E" w:rsidRPr="00F5503E">
        <w:rPr>
          <w:b/>
        </w:rPr>
        <w:t xml:space="preserve"> Ekranı</w:t>
      </w:r>
    </w:p>
    <w:p w:rsidR="000561A0" w:rsidRPr="00006926" w:rsidRDefault="00006926" w:rsidP="00A565FE">
      <w:r w:rsidRPr="00006926">
        <w:t xml:space="preserve">Tedarik organizasyonu kullanıcıları sadece kendi organizasyonlarındaki tüketici bilgilerini </w:t>
      </w:r>
      <w:r>
        <w:t>görüntüleyebilir.</w:t>
      </w:r>
    </w:p>
    <w:p w:rsidR="00BB69A6" w:rsidRDefault="00006926" w:rsidP="00E065E1">
      <w:r w:rsidRPr="00006926">
        <w:t>Ekranda yer alan</w:t>
      </w:r>
      <w:r>
        <w:t xml:space="preserve"> “Sadece Listel</w:t>
      </w:r>
      <w:r w:rsidR="005A0398">
        <w:t>enenleri Excel’e Aktar” ve “Tüm Sonucu</w:t>
      </w:r>
      <w:r>
        <w:t xml:space="preserve"> Excel’e Aktar” butonları sayesinde, yapılan </w:t>
      </w:r>
      <w:r w:rsidR="005A0398">
        <w:t xml:space="preserve">sorgulama sonucunda oluşan listeyi veya portföyde yer alan tüm tüketici bilgilerini Excel’e aktarmak mümkündür.  </w:t>
      </w:r>
    </w:p>
    <w:sectPr w:rsidR="00BB69A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26" w:rsidRDefault="00006926" w:rsidP="00044765">
      <w:pPr>
        <w:spacing w:after="0" w:line="240" w:lineRule="auto"/>
      </w:pPr>
      <w:r>
        <w:separator/>
      </w:r>
    </w:p>
  </w:endnote>
  <w:endnote w:type="continuationSeparator" w:id="0">
    <w:p w:rsidR="00006926" w:rsidRDefault="00006926" w:rsidP="0004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21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926" w:rsidRDefault="00006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4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06926" w:rsidRDefault="00006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26" w:rsidRDefault="00006926" w:rsidP="00044765">
      <w:pPr>
        <w:spacing w:after="0" w:line="240" w:lineRule="auto"/>
      </w:pPr>
      <w:r>
        <w:separator/>
      </w:r>
    </w:p>
  </w:footnote>
  <w:footnote w:type="continuationSeparator" w:id="0">
    <w:p w:rsidR="00006926" w:rsidRDefault="00006926" w:rsidP="0004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D06"/>
    <w:multiLevelType w:val="hybridMultilevel"/>
    <w:tmpl w:val="32962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1A2C"/>
    <w:multiLevelType w:val="hybridMultilevel"/>
    <w:tmpl w:val="5D3C2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1A3E"/>
    <w:multiLevelType w:val="hybridMultilevel"/>
    <w:tmpl w:val="E5989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ADD"/>
    <w:multiLevelType w:val="hybridMultilevel"/>
    <w:tmpl w:val="885A69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07"/>
    <w:multiLevelType w:val="hybridMultilevel"/>
    <w:tmpl w:val="E356E5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D18CB"/>
    <w:multiLevelType w:val="hybridMultilevel"/>
    <w:tmpl w:val="D2047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10F"/>
    <w:multiLevelType w:val="hybridMultilevel"/>
    <w:tmpl w:val="B35EAD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5238"/>
    <w:multiLevelType w:val="hybridMultilevel"/>
    <w:tmpl w:val="CB1C930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8437E39"/>
    <w:multiLevelType w:val="hybridMultilevel"/>
    <w:tmpl w:val="B582E534"/>
    <w:lvl w:ilvl="0" w:tplc="92FA220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C46C0F"/>
    <w:multiLevelType w:val="hybridMultilevel"/>
    <w:tmpl w:val="DC60E7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A4258"/>
    <w:multiLevelType w:val="hybridMultilevel"/>
    <w:tmpl w:val="E6001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56E45"/>
    <w:multiLevelType w:val="hybridMultilevel"/>
    <w:tmpl w:val="195E7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87D68"/>
    <w:multiLevelType w:val="hybridMultilevel"/>
    <w:tmpl w:val="CB1A3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E2AA2"/>
    <w:multiLevelType w:val="hybridMultilevel"/>
    <w:tmpl w:val="72A83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B3B63"/>
    <w:multiLevelType w:val="hybridMultilevel"/>
    <w:tmpl w:val="2A80FB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9156E"/>
    <w:multiLevelType w:val="hybridMultilevel"/>
    <w:tmpl w:val="C65A195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6183FE3"/>
    <w:multiLevelType w:val="hybridMultilevel"/>
    <w:tmpl w:val="53FC5B1C"/>
    <w:lvl w:ilvl="0" w:tplc="CE9A74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0186C"/>
    <w:multiLevelType w:val="hybridMultilevel"/>
    <w:tmpl w:val="5EB6C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A6D5F"/>
    <w:multiLevelType w:val="hybridMultilevel"/>
    <w:tmpl w:val="AF20DF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93AD4"/>
    <w:multiLevelType w:val="hybridMultilevel"/>
    <w:tmpl w:val="8258EDFA"/>
    <w:lvl w:ilvl="0" w:tplc="74D6C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4"/>
  </w:num>
  <w:num w:numId="5">
    <w:abstractNumId w:val="11"/>
  </w:num>
  <w:num w:numId="6">
    <w:abstractNumId w:val="1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18"/>
  </w:num>
  <w:num w:numId="14">
    <w:abstractNumId w:val="0"/>
  </w:num>
  <w:num w:numId="15">
    <w:abstractNumId w:val="12"/>
  </w:num>
  <w:num w:numId="16">
    <w:abstractNumId w:val="7"/>
  </w:num>
  <w:num w:numId="17">
    <w:abstractNumId w:val="13"/>
  </w:num>
  <w:num w:numId="18">
    <w:abstractNumId w:val="16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E7"/>
    <w:rsid w:val="00006926"/>
    <w:rsid w:val="0001159B"/>
    <w:rsid w:val="00023D9C"/>
    <w:rsid w:val="00031DFA"/>
    <w:rsid w:val="00031F6D"/>
    <w:rsid w:val="0003212B"/>
    <w:rsid w:val="00044765"/>
    <w:rsid w:val="000561A0"/>
    <w:rsid w:val="00072CE7"/>
    <w:rsid w:val="00095012"/>
    <w:rsid w:val="000B1664"/>
    <w:rsid w:val="000F4158"/>
    <w:rsid w:val="00120B7F"/>
    <w:rsid w:val="001344A1"/>
    <w:rsid w:val="001512CC"/>
    <w:rsid w:val="00181955"/>
    <w:rsid w:val="001E02DD"/>
    <w:rsid w:val="001F12C2"/>
    <w:rsid w:val="001F6E35"/>
    <w:rsid w:val="0030696B"/>
    <w:rsid w:val="00313EB9"/>
    <w:rsid w:val="00333555"/>
    <w:rsid w:val="00354CD2"/>
    <w:rsid w:val="003B509F"/>
    <w:rsid w:val="003D39A0"/>
    <w:rsid w:val="003D7ADD"/>
    <w:rsid w:val="003E2192"/>
    <w:rsid w:val="003E5F95"/>
    <w:rsid w:val="004258BA"/>
    <w:rsid w:val="00437170"/>
    <w:rsid w:val="0044151B"/>
    <w:rsid w:val="00493248"/>
    <w:rsid w:val="00535727"/>
    <w:rsid w:val="00575D43"/>
    <w:rsid w:val="005A0398"/>
    <w:rsid w:val="005C1667"/>
    <w:rsid w:val="006144C0"/>
    <w:rsid w:val="006417CC"/>
    <w:rsid w:val="00645416"/>
    <w:rsid w:val="006A2280"/>
    <w:rsid w:val="00726DAD"/>
    <w:rsid w:val="00750643"/>
    <w:rsid w:val="007A44AA"/>
    <w:rsid w:val="009016FB"/>
    <w:rsid w:val="009105C9"/>
    <w:rsid w:val="00917C16"/>
    <w:rsid w:val="00932029"/>
    <w:rsid w:val="00961FC7"/>
    <w:rsid w:val="00984659"/>
    <w:rsid w:val="009A01AD"/>
    <w:rsid w:val="009A7A6D"/>
    <w:rsid w:val="009C20CC"/>
    <w:rsid w:val="00A07ADA"/>
    <w:rsid w:val="00A07C92"/>
    <w:rsid w:val="00A431E0"/>
    <w:rsid w:val="00A565FE"/>
    <w:rsid w:val="00AA382E"/>
    <w:rsid w:val="00AD52F7"/>
    <w:rsid w:val="00AE5BE9"/>
    <w:rsid w:val="00B50531"/>
    <w:rsid w:val="00B84F62"/>
    <w:rsid w:val="00BB69A6"/>
    <w:rsid w:val="00C53890"/>
    <w:rsid w:val="00C70D1B"/>
    <w:rsid w:val="00CA23D8"/>
    <w:rsid w:val="00CF78FC"/>
    <w:rsid w:val="00D240AF"/>
    <w:rsid w:val="00D37BFB"/>
    <w:rsid w:val="00D45933"/>
    <w:rsid w:val="00DA7440"/>
    <w:rsid w:val="00DE64F6"/>
    <w:rsid w:val="00E065E1"/>
    <w:rsid w:val="00E73AE4"/>
    <w:rsid w:val="00EB240D"/>
    <w:rsid w:val="00F5503E"/>
    <w:rsid w:val="00F90622"/>
    <w:rsid w:val="00F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9F2B2C7-8DA3-4770-8062-AFA963FF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AF"/>
    <w:pPr>
      <w:ind w:left="720"/>
      <w:contextualSpacing/>
    </w:pPr>
  </w:style>
  <w:style w:type="table" w:styleId="TableGrid">
    <w:name w:val="Table Grid"/>
    <w:basedOn w:val="TableNormal"/>
    <w:uiPriority w:val="39"/>
    <w:rsid w:val="0005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-edit-fieldtitle">
    <w:name w:val="edit-edit-fieldtitle"/>
    <w:basedOn w:val="DefaultParagraphFont"/>
    <w:rsid w:val="000561A0"/>
  </w:style>
  <w:style w:type="character" w:customStyle="1" w:styleId="apple-converted-space">
    <w:name w:val="apple-converted-space"/>
    <w:basedOn w:val="DefaultParagraphFont"/>
    <w:rsid w:val="000561A0"/>
  </w:style>
  <w:style w:type="character" w:customStyle="1" w:styleId="TitleChar">
    <w:name w:val="Title Char"/>
    <w:link w:val="Title"/>
    <w:uiPriority w:val="10"/>
    <w:qFormat/>
    <w:rsid w:val="00BB69A6"/>
    <w:rPr>
      <w:rFonts w:ascii="Calibri Light" w:eastAsia="Calibri Light" w:hAnsi="Calibri Light" w:cs="Calibri Light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BB69A6"/>
    <w:pPr>
      <w:suppressAutoHyphens/>
      <w:spacing w:after="0" w:line="240" w:lineRule="auto"/>
      <w:contextualSpacing/>
    </w:pPr>
    <w:rPr>
      <w:rFonts w:ascii="Calibri Light" w:eastAsia="Calibri Light" w:hAnsi="Calibri Light" w:cs="Calibri Light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BB6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6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69A6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65"/>
  </w:style>
  <w:style w:type="paragraph" w:styleId="Footer">
    <w:name w:val="footer"/>
    <w:basedOn w:val="Normal"/>
    <w:link w:val="FooterChar"/>
    <w:uiPriority w:val="99"/>
    <w:unhideWhenUsed/>
    <w:rsid w:val="0004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11AD-EE58-4DA4-BAAC-3D744A6A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Ozlem Demirel</dc:creator>
  <cp:keywords/>
  <dc:description/>
  <cp:lastModifiedBy>Ayse Ozlem Seckin</cp:lastModifiedBy>
  <cp:revision>4</cp:revision>
  <dcterms:created xsi:type="dcterms:W3CDTF">2017-01-02T11:09:00Z</dcterms:created>
  <dcterms:modified xsi:type="dcterms:W3CDTF">2017-01-03T06:58:00Z</dcterms:modified>
</cp:coreProperties>
</file>