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59B6A" w14:textId="77777777" w:rsidR="004F0E71" w:rsidRDefault="00F80437" w:rsidP="004F0E71">
      <w:pPr>
        <w:widowControl w:val="0"/>
        <w:shd w:val="clear" w:color="auto" w:fill="FFFFFF"/>
        <w:overflowPunct w:val="0"/>
        <w:autoSpaceDE w:val="0"/>
        <w:autoSpaceDN w:val="0"/>
        <w:adjustRightInd w:val="0"/>
        <w:spacing w:after="0" w:line="240" w:lineRule="auto"/>
        <w:ind w:right="11"/>
        <w:jc w:val="center"/>
        <w:textAlignment w:val="baseline"/>
        <w:rPr>
          <w:rFonts w:ascii="Times New Roman" w:eastAsia="Times New Roman" w:hAnsi="Times New Roman"/>
          <w:b/>
          <w:spacing w:val="-2"/>
          <w:sz w:val="24"/>
          <w:szCs w:val="24"/>
          <w:lang w:eastAsia="tr-TR"/>
        </w:rPr>
      </w:pPr>
      <w:r>
        <w:rPr>
          <w:rFonts w:ascii="Times New Roman" w:eastAsia="Times New Roman" w:hAnsi="Times New Roman"/>
          <w:b/>
          <w:spacing w:val="-2"/>
          <w:sz w:val="24"/>
          <w:szCs w:val="24"/>
          <w:lang w:eastAsia="tr-TR"/>
        </w:rPr>
        <w:t xml:space="preserve">ORGANİZE TOPTAN DOĞAL GAZ PİYASASI İŞLETİM USUL VE ESASLARI (PUE) </w:t>
      </w:r>
    </w:p>
    <w:p w14:paraId="560F25F8" w14:textId="77777777" w:rsidR="004F0E71" w:rsidRDefault="004F0E71" w:rsidP="004F0E71">
      <w:pPr>
        <w:widowControl w:val="0"/>
        <w:shd w:val="clear" w:color="auto" w:fill="FFFFFF"/>
        <w:overflowPunct w:val="0"/>
        <w:autoSpaceDE w:val="0"/>
        <w:autoSpaceDN w:val="0"/>
        <w:adjustRightInd w:val="0"/>
        <w:spacing w:after="0" w:line="240" w:lineRule="auto"/>
        <w:ind w:right="11"/>
        <w:jc w:val="center"/>
        <w:textAlignment w:val="baseline"/>
        <w:rPr>
          <w:rFonts w:ascii="Times New Roman" w:eastAsia="Times New Roman" w:hAnsi="Times New Roman"/>
          <w:b/>
          <w:spacing w:val="-2"/>
          <w:sz w:val="24"/>
          <w:szCs w:val="24"/>
          <w:lang w:eastAsia="tr-TR"/>
        </w:rPr>
      </w:pPr>
    </w:p>
    <w:p w14:paraId="45712719" w14:textId="1A980BF3" w:rsidR="00064488" w:rsidRDefault="00F80437" w:rsidP="004F0E71">
      <w:pPr>
        <w:widowControl w:val="0"/>
        <w:shd w:val="clear" w:color="auto" w:fill="FFFFFF"/>
        <w:overflowPunct w:val="0"/>
        <w:autoSpaceDE w:val="0"/>
        <w:autoSpaceDN w:val="0"/>
        <w:adjustRightInd w:val="0"/>
        <w:spacing w:after="0" w:line="240" w:lineRule="auto"/>
        <w:ind w:right="11"/>
        <w:jc w:val="center"/>
        <w:textAlignment w:val="baseline"/>
        <w:rPr>
          <w:rFonts w:ascii="Times New Roman" w:eastAsia="Times New Roman" w:hAnsi="Times New Roman"/>
          <w:b/>
          <w:spacing w:val="-2"/>
          <w:sz w:val="24"/>
          <w:szCs w:val="24"/>
          <w:lang w:eastAsia="tr-TR"/>
        </w:rPr>
      </w:pPr>
      <w:r>
        <w:rPr>
          <w:rFonts w:ascii="Times New Roman" w:eastAsia="Times New Roman" w:hAnsi="Times New Roman"/>
          <w:b/>
          <w:spacing w:val="-2"/>
          <w:sz w:val="24"/>
          <w:szCs w:val="24"/>
          <w:lang w:eastAsia="tr-TR"/>
        </w:rPr>
        <w:t xml:space="preserve">DEĞİŞİKLİK </w:t>
      </w:r>
      <w:r w:rsidR="009B0F5B">
        <w:rPr>
          <w:rFonts w:ascii="Times New Roman" w:eastAsia="Times New Roman" w:hAnsi="Times New Roman"/>
          <w:b/>
          <w:spacing w:val="-2"/>
          <w:sz w:val="24"/>
          <w:szCs w:val="24"/>
          <w:lang w:eastAsia="tr-TR"/>
        </w:rPr>
        <w:t>TASLAĞI</w:t>
      </w:r>
    </w:p>
    <w:p w14:paraId="10A9180E" w14:textId="77777777" w:rsidR="00064488" w:rsidRPr="00064488" w:rsidRDefault="00064488" w:rsidP="004F0E71">
      <w:pPr>
        <w:widowControl w:val="0"/>
        <w:shd w:val="clear" w:color="auto" w:fill="FFFFFF"/>
        <w:overflowPunct w:val="0"/>
        <w:autoSpaceDE w:val="0"/>
        <w:autoSpaceDN w:val="0"/>
        <w:adjustRightInd w:val="0"/>
        <w:spacing w:after="0" w:line="240" w:lineRule="auto"/>
        <w:ind w:right="10"/>
        <w:jc w:val="center"/>
        <w:textAlignment w:val="baseline"/>
        <w:rPr>
          <w:rFonts w:ascii="Times New Roman" w:eastAsia="Times New Roman" w:hAnsi="Times New Roman"/>
          <w:b/>
          <w:spacing w:val="-2"/>
          <w:sz w:val="24"/>
          <w:szCs w:val="24"/>
          <w:lang w:eastAsia="tr-T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4"/>
        <w:gridCol w:w="5054"/>
        <w:gridCol w:w="5055"/>
      </w:tblGrid>
      <w:tr w:rsidR="00064488" w:rsidRPr="004F0E71" w14:paraId="5782A941" w14:textId="77777777" w:rsidTr="00203369">
        <w:trPr>
          <w:trHeight w:val="589"/>
        </w:trPr>
        <w:tc>
          <w:tcPr>
            <w:tcW w:w="5054" w:type="dxa"/>
            <w:vAlign w:val="center"/>
          </w:tcPr>
          <w:p w14:paraId="420C8709" w14:textId="77777777" w:rsidR="00064488" w:rsidRPr="004F0E71" w:rsidRDefault="00F80437" w:rsidP="000318BB">
            <w:pPr>
              <w:widowControl w:val="0"/>
              <w:overflowPunct w:val="0"/>
              <w:autoSpaceDE w:val="0"/>
              <w:autoSpaceDN w:val="0"/>
              <w:adjustRightInd w:val="0"/>
              <w:spacing w:after="0" w:line="240" w:lineRule="auto"/>
              <w:ind w:right="10"/>
              <w:jc w:val="center"/>
              <w:textAlignment w:val="baseline"/>
              <w:rPr>
                <w:rFonts w:ascii="Times New Roman" w:eastAsia="Times New Roman" w:hAnsi="Times New Roman"/>
                <w:b/>
                <w:spacing w:val="-2"/>
                <w:sz w:val="24"/>
                <w:lang w:eastAsia="tr-TR"/>
              </w:rPr>
            </w:pPr>
            <w:r w:rsidRPr="004F0E71">
              <w:rPr>
                <w:rFonts w:ascii="Times New Roman" w:eastAsia="Times New Roman" w:hAnsi="Times New Roman"/>
                <w:b/>
                <w:spacing w:val="-2"/>
                <w:sz w:val="24"/>
                <w:lang w:eastAsia="tr-TR"/>
              </w:rPr>
              <w:t xml:space="preserve">Mevcut </w:t>
            </w:r>
            <w:r w:rsidR="000318BB" w:rsidRPr="004F0E71">
              <w:rPr>
                <w:rFonts w:ascii="Times New Roman" w:eastAsia="Times New Roman" w:hAnsi="Times New Roman"/>
                <w:b/>
                <w:spacing w:val="-2"/>
                <w:sz w:val="24"/>
                <w:lang w:eastAsia="tr-TR"/>
              </w:rPr>
              <w:t>m</w:t>
            </w:r>
            <w:r w:rsidR="00064488" w:rsidRPr="004F0E71">
              <w:rPr>
                <w:rFonts w:ascii="Times New Roman" w:eastAsia="Times New Roman" w:hAnsi="Times New Roman"/>
                <w:b/>
                <w:spacing w:val="-2"/>
                <w:sz w:val="24"/>
                <w:lang w:eastAsia="tr-TR"/>
              </w:rPr>
              <w:t>adde</w:t>
            </w:r>
          </w:p>
        </w:tc>
        <w:tc>
          <w:tcPr>
            <w:tcW w:w="5054" w:type="dxa"/>
            <w:vAlign w:val="center"/>
          </w:tcPr>
          <w:p w14:paraId="75A535B7" w14:textId="77777777" w:rsidR="00064488" w:rsidRPr="004F0E71" w:rsidRDefault="00064488" w:rsidP="00203369">
            <w:pPr>
              <w:widowControl w:val="0"/>
              <w:overflowPunct w:val="0"/>
              <w:autoSpaceDE w:val="0"/>
              <w:autoSpaceDN w:val="0"/>
              <w:adjustRightInd w:val="0"/>
              <w:spacing w:after="0" w:line="240" w:lineRule="auto"/>
              <w:ind w:right="10"/>
              <w:jc w:val="center"/>
              <w:textAlignment w:val="baseline"/>
              <w:rPr>
                <w:rFonts w:ascii="Times New Roman" w:eastAsia="Times New Roman" w:hAnsi="Times New Roman"/>
                <w:b/>
                <w:spacing w:val="-2"/>
                <w:sz w:val="24"/>
                <w:lang w:eastAsia="tr-TR"/>
              </w:rPr>
            </w:pPr>
            <w:r w:rsidRPr="004F0E71">
              <w:rPr>
                <w:rFonts w:ascii="Times New Roman" w:eastAsia="Times New Roman" w:hAnsi="Times New Roman"/>
                <w:b/>
                <w:spacing w:val="-2"/>
                <w:sz w:val="24"/>
                <w:lang w:eastAsia="tr-TR"/>
              </w:rPr>
              <w:t>Görüş ve Değerlendirme</w:t>
            </w:r>
          </w:p>
        </w:tc>
        <w:tc>
          <w:tcPr>
            <w:tcW w:w="5055" w:type="dxa"/>
            <w:vAlign w:val="center"/>
          </w:tcPr>
          <w:p w14:paraId="5E0A9854" w14:textId="77777777" w:rsidR="00064488" w:rsidRPr="004F0E71" w:rsidRDefault="00064488" w:rsidP="00203369">
            <w:pPr>
              <w:widowControl w:val="0"/>
              <w:overflowPunct w:val="0"/>
              <w:autoSpaceDE w:val="0"/>
              <w:autoSpaceDN w:val="0"/>
              <w:adjustRightInd w:val="0"/>
              <w:spacing w:after="0" w:line="240" w:lineRule="auto"/>
              <w:ind w:right="10"/>
              <w:jc w:val="center"/>
              <w:textAlignment w:val="baseline"/>
              <w:rPr>
                <w:rFonts w:ascii="Times New Roman" w:eastAsia="Times New Roman" w:hAnsi="Times New Roman"/>
                <w:b/>
                <w:spacing w:val="-2"/>
                <w:sz w:val="24"/>
                <w:lang w:eastAsia="tr-TR"/>
              </w:rPr>
            </w:pPr>
            <w:r w:rsidRPr="004F0E71">
              <w:rPr>
                <w:rFonts w:ascii="Times New Roman" w:eastAsia="Times New Roman" w:hAnsi="Times New Roman"/>
                <w:b/>
                <w:spacing w:val="-2"/>
                <w:sz w:val="24"/>
                <w:lang w:eastAsia="tr-TR"/>
              </w:rPr>
              <w:t>Teklif</w:t>
            </w:r>
          </w:p>
        </w:tc>
      </w:tr>
      <w:tr w:rsidR="0084229F" w:rsidRPr="004F0E71" w14:paraId="3A905B8C" w14:textId="77777777" w:rsidTr="009208D0">
        <w:trPr>
          <w:trHeight w:val="589"/>
        </w:trPr>
        <w:tc>
          <w:tcPr>
            <w:tcW w:w="5054" w:type="dxa"/>
          </w:tcPr>
          <w:p w14:paraId="7F7BF109" w14:textId="227A777C" w:rsidR="0084229F" w:rsidRPr="004F0E71" w:rsidRDefault="0084229F" w:rsidP="0084229F">
            <w:pPr>
              <w:spacing w:after="0" w:line="240" w:lineRule="auto"/>
              <w:jc w:val="both"/>
              <w:rPr>
                <w:rFonts w:ascii="Times New Roman" w:hAnsi="Times New Roman"/>
                <w:b/>
              </w:rPr>
            </w:pPr>
            <w:r w:rsidRPr="004F0E71">
              <w:rPr>
                <w:rFonts w:ascii="Times New Roman" w:hAnsi="Times New Roman"/>
                <w:b/>
              </w:rPr>
              <w:t>4.1. Piyasa Katılımcıları ve Sorumlulukları</w:t>
            </w:r>
          </w:p>
          <w:p w14:paraId="32AFBE7B"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b/>
              </w:rPr>
              <w:t>4.1.1.</w:t>
            </w:r>
            <w:r w:rsidRPr="004F0E71">
              <w:rPr>
                <w:rFonts w:ascii="Times New Roman" w:hAnsi="Times New Roman"/>
                <w:b/>
              </w:rPr>
              <w:tab/>
            </w:r>
            <w:r w:rsidRPr="004F0E71">
              <w:rPr>
                <w:rFonts w:ascii="Times New Roman" w:hAnsi="Times New Roman"/>
              </w:rPr>
              <w:t>Piyasa katılımcıları, OTSP’de işlem yapmak istedikleri gaz yılına ilişkin olarak STS ve STP katılım anlaşması imzalamış olan;</w:t>
            </w:r>
          </w:p>
          <w:p w14:paraId="63FAE42F" w14:textId="66D6C6AF"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a) </w:t>
            </w:r>
            <w:r w:rsidR="0084229F" w:rsidRPr="004F0E71">
              <w:rPr>
                <w:rFonts w:ascii="Times New Roman" w:hAnsi="Times New Roman"/>
              </w:rPr>
              <w:t>İthalat lisansı sahibi,</w:t>
            </w:r>
          </w:p>
          <w:p w14:paraId="2B10BBC3" w14:textId="50EF8EA6"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b) </w:t>
            </w:r>
            <w:r w:rsidR="0084229F" w:rsidRPr="004F0E71">
              <w:rPr>
                <w:rFonts w:ascii="Times New Roman" w:hAnsi="Times New Roman"/>
              </w:rPr>
              <w:t>Toptan satış lisansı sahibi,</w:t>
            </w:r>
          </w:p>
          <w:p w14:paraId="3BFFF5C4" w14:textId="6D12B8CF"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c) </w:t>
            </w:r>
            <w:r w:rsidR="0084229F" w:rsidRPr="004F0E71">
              <w:rPr>
                <w:rFonts w:ascii="Times New Roman" w:hAnsi="Times New Roman"/>
              </w:rPr>
              <w:t>İhracat lisansı sahibi</w:t>
            </w:r>
          </w:p>
          <w:p w14:paraId="6EEE94DC" w14:textId="1C298FE1" w:rsidR="0084229F" w:rsidRPr="004F0E71" w:rsidRDefault="0084229F" w:rsidP="0084229F">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hAnsi="Times New Roman"/>
              </w:rPr>
              <w:t>tüzel kişilerden oluşur. İletim lisansı sahibi yalnızca ilave dengeleyici olarak ve ŞİD’de belirtilen diğer haller gereğince bu Usul ve Esaslar ve ilgili mevzuat çerçevesinde piyasa katılımcısı sıfatını haiz olur. ŞİD’in Madde 23.1.2 hükümleri mahfuzdur.</w:t>
            </w:r>
          </w:p>
        </w:tc>
        <w:tc>
          <w:tcPr>
            <w:tcW w:w="5054" w:type="dxa"/>
          </w:tcPr>
          <w:p w14:paraId="51D1A50C" w14:textId="6327B1D4" w:rsidR="0084229F" w:rsidRPr="004F0E71" w:rsidRDefault="0084229F" w:rsidP="00994B8E">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hAnsi="Times New Roman"/>
              </w:rPr>
              <w:t>ŞİD</w:t>
            </w:r>
            <w:r w:rsidR="00994B8E" w:rsidRPr="004F0E71">
              <w:rPr>
                <w:rFonts w:ascii="Times New Roman" w:hAnsi="Times New Roman"/>
              </w:rPr>
              <w:t xml:space="preserve">’de yapılan değişiklik </w:t>
            </w:r>
            <w:r w:rsidRPr="004F0E71">
              <w:rPr>
                <w:rFonts w:ascii="Times New Roman" w:hAnsi="Times New Roman"/>
              </w:rPr>
              <w:t xml:space="preserve">nedeniyle </w:t>
            </w:r>
            <w:r w:rsidR="00994B8E" w:rsidRPr="004F0E71">
              <w:rPr>
                <w:rFonts w:ascii="Times New Roman" w:hAnsi="Times New Roman"/>
              </w:rPr>
              <w:t>atıf yapılan madde numarası revize edilmektedir.</w:t>
            </w:r>
          </w:p>
        </w:tc>
        <w:tc>
          <w:tcPr>
            <w:tcW w:w="5055" w:type="dxa"/>
          </w:tcPr>
          <w:p w14:paraId="1CADBBDC" w14:textId="77777777" w:rsidR="0084229F" w:rsidRPr="004F0E71" w:rsidRDefault="0084229F" w:rsidP="0084229F">
            <w:pPr>
              <w:spacing w:after="0" w:line="240" w:lineRule="auto"/>
              <w:jc w:val="both"/>
              <w:rPr>
                <w:rFonts w:ascii="Times New Roman" w:hAnsi="Times New Roman"/>
                <w:b/>
              </w:rPr>
            </w:pPr>
            <w:r w:rsidRPr="004F0E71">
              <w:rPr>
                <w:rFonts w:ascii="Times New Roman" w:hAnsi="Times New Roman"/>
                <w:b/>
              </w:rPr>
              <w:t>4.1. Piyasa Katılımcıları ve Sorumlulukları</w:t>
            </w:r>
          </w:p>
          <w:p w14:paraId="5BDCEC15"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b/>
              </w:rPr>
              <w:t>4.1.1.</w:t>
            </w:r>
            <w:r w:rsidRPr="004F0E71">
              <w:rPr>
                <w:rFonts w:ascii="Times New Roman" w:hAnsi="Times New Roman"/>
              </w:rPr>
              <w:tab/>
              <w:t>Piyasa katılımcıları, OTSP’de işlem yapmak istedikleri gaz yılına ilişkin olarak STS ve STP katılım anlaşması imzalamış olan;</w:t>
            </w:r>
          </w:p>
          <w:p w14:paraId="1EB34525" w14:textId="3B57E44F"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a) </w:t>
            </w:r>
            <w:r w:rsidR="0084229F" w:rsidRPr="004F0E71">
              <w:rPr>
                <w:rFonts w:ascii="Times New Roman" w:hAnsi="Times New Roman"/>
              </w:rPr>
              <w:t>İthalat lisansı sahibi,</w:t>
            </w:r>
          </w:p>
          <w:p w14:paraId="5E70681E" w14:textId="59430604"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b) </w:t>
            </w:r>
            <w:r w:rsidR="0084229F" w:rsidRPr="004F0E71">
              <w:rPr>
                <w:rFonts w:ascii="Times New Roman" w:hAnsi="Times New Roman"/>
              </w:rPr>
              <w:t>Toptan satış lisansı sahibi,</w:t>
            </w:r>
          </w:p>
          <w:p w14:paraId="19573246" w14:textId="785154F8" w:rsidR="0084229F" w:rsidRPr="004F0E71" w:rsidRDefault="004F0E71" w:rsidP="0084229F">
            <w:pPr>
              <w:spacing w:after="0" w:line="240" w:lineRule="auto"/>
              <w:jc w:val="both"/>
              <w:rPr>
                <w:rFonts w:ascii="Times New Roman" w:hAnsi="Times New Roman"/>
              </w:rPr>
            </w:pPr>
            <w:r w:rsidRPr="004F0E71">
              <w:rPr>
                <w:rFonts w:ascii="Times New Roman" w:hAnsi="Times New Roman"/>
              </w:rPr>
              <w:t xml:space="preserve">c) </w:t>
            </w:r>
            <w:r w:rsidR="0084229F" w:rsidRPr="004F0E71">
              <w:rPr>
                <w:rFonts w:ascii="Times New Roman" w:hAnsi="Times New Roman"/>
              </w:rPr>
              <w:t>İhracat lisansı sahibi</w:t>
            </w:r>
          </w:p>
          <w:p w14:paraId="72B59134" w14:textId="7B04270B" w:rsidR="0084229F" w:rsidRPr="004F0E71" w:rsidRDefault="0084229F" w:rsidP="0084229F">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hAnsi="Times New Roman"/>
              </w:rPr>
              <w:t xml:space="preserve">tüzel kişilerden oluşur. İletim lisansı sahibi yalnızca ilave dengeleyici olarak ve ŞİD’de belirtilen diğer haller gereğince bu Usul ve Esaslar ve ilgili mevzuat çerçevesinde piyasa katılımcısı sıfatını haiz olur. ŞİD’in Madde </w:t>
            </w:r>
            <w:r w:rsidRPr="004F0E71">
              <w:rPr>
                <w:rFonts w:ascii="Times New Roman" w:hAnsi="Times New Roman"/>
                <w:strike/>
                <w:color w:val="C00000"/>
              </w:rPr>
              <w:t>23.1.2</w:t>
            </w:r>
            <w:r w:rsidRPr="004F0E71">
              <w:rPr>
                <w:rFonts w:ascii="Times New Roman" w:hAnsi="Times New Roman"/>
              </w:rPr>
              <w:t xml:space="preserve"> </w:t>
            </w:r>
            <w:r w:rsidRPr="004F0E71">
              <w:rPr>
                <w:rFonts w:ascii="Times New Roman" w:hAnsi="Times New Roman"/>
                <w:color w:val="0070C0"/>
                <w:u w:val="single"/>
              </w:rPr>
              <w:t>24.1.2</w:t>
            </w:r>
            <w:r w:rsidRPr="004F0E71">
              <w:rPr>
                <w:rFonts w:ascii="Times New Roman" w:hAnsi="Times New Roman"/>
              </w:rPr>
              <w:t xml:space="preserve"> hükümleri mahfuzdur.</w:t>
            </w:r>
          </w:p>
        </w:tc>
      </w:tr>
      <w:tr w:rsidR="0084229F" w:rsidRPr="004F0E71" w14:paraId="0054F616" w14:textId="77777777" w:rsidTr="009208D0">
        <w:trPr>
          <w:trHeight w:val="589"/>
        </w:trPr>
        <w:tc>
          <w:tcPr>
            <w:tcW w:w="5054" w:type="dxa"/>
          </w:tcPr>
          <w:p w14:paraId="64178801" w14:textId="4136DCD0" w:rsidR="0084229F" w:rsidRPr="004F0E71" w:rsidRDefault="0084229F" w:rsidP="0084229F">
            <w:pPr>
              <w:spacing w:after="0" w:line="240" w:lineRule="auto"/>
              <w:jc w:val="both"/>
              <w:rPr>
                <w:rFonts w:ascii="Times New Roman" w:hAnsi="Times New Roman"/>
                <w:b/>
              </w:rPr>
            </w:pPr>
            <w:r w:rsidRPr="004F0E71">
              <w:rPr>
                <w:rFonts w:ascii="Times New Roman" w:hAnsi="Times New Roman"/>
                <w:b/>
              </w:rPr>
              <w:t>6.6.3.</w:t>
            </w:r>
            <w:r w:rsidRPr="004F0E71">
              <w:rPr>
                <w:rFonts w:ascii="Times New Roman" w:hAnsi="Times New Roman"/>
              </w:rPr>
              <w:tab/>
              <w:t>Her bir piyasa katılımcısı için kesinleşmiş takas miktarı, ilgili katılımcının onaylanmış satış tekliflerinden alış tekliflerinin çıkarılmasıyla hesaplanır. İlgili ticaret aralığı içerisinde işlemin yapıldığı gün dikkate alınarak, sonucun pozitif olduğu durumda satış yönlü değerler katılımcının EPİAŞ UDN Çıkış noktasında, negatif olduğu durumda ise sonucun mutlak değeri katılımcının EPİAŞ UDN Giriş noktasında TMB/TMDB olarak EBT’ye kaydedilir. Bu doğrultuda günlük ürünler için bir ticaret aralığı içerisinde EPİAŞ tarafından EBT’ye G-1, G ve G+1’de kesinleşmiş takas miktarları ve haftalık ürünleri (hafta içi ürünü, hafta sonu ürünü ve haftalık ürün)için her Cuma günü itibarıyla gün bazında, Madde 6.6.1’de belirtilen dört ayrı zaman dilimi akabinde gönderilir .</w:t>
            </w:r>
          </w:p>
        </w:tc>
        <w:tc>
          <w:tcPr>
            <w:tcW w:w="5054" w:type="dxa"/>
          </w:tcPr>
          <w:p w14:paraId="75C979CF" w14:textId="61CA8219" w:rsidR="0084229F" w:rsidRPr="004F0E71" w:rsidRDefault="00994B8E" w:rsidP="00994B8E">
            <w:pPr>
              <w:widowControl w:val="0"/>
              <w:overflowPunct w:val="0"/>
              <w:autoSpaceDE w:val="0"/>
              <w:autoSpaceDN w:val="0"/>
              <w:adjustRightInd w:val="0"/>
              <w:spacing w:after="0" w:line="240" w:lineRule="auto"/>
              <w:ind w:right="10"/>
              <w:jc w:val="both"/>
              <w:textAlignment w:val="baseline"/>
              <w:rPr>
                <w:rFonts w:ascii="Times New Roman" w:hAnsi="Times New Roman"/>
              </w:rPr>
            </w:pPr>
            <w:r w:rsidRPr="004F0E71">
              <w:rPr>
                <w:rFonts w:ascii="Times New Roman" w:hAnsi="Times New Roman"/>
              </w:rPr>
              <w:t>İfade düzeltmesi yapılarak y</w:t>
            </w:r>
            <w:r w:rsidR="0084229F" w:rsidRPr="004F0E71">
              <w:rPr>
                <w:rFonts w:ascii="Times New Roman" w:hAnsi="Times New Roman"/>
              </w:rPr>
              <w:t>anlış anlaşılma</w:t>
            </w:r>
            <w:r w:rsidRPr="004F0E71">
              <w:rPr>
                <w:rFonts w:ascii="Times New Roman" w:hAnsi="Times New Roman"/>
              </w:rPr>
              <w:t>ya sebep olacak ifade değiştirilmektedir.</w:t>
            </w:r>
            <w:r w:rsidR="0084229F" w:rsidRPr="004F0E71">
              <w:rPr>
                <w:rFonts w:ascii="Times New Roman" w:hAnsi="Times New Roman"/>
              </w:rPr>
              <w:t xml:space="preserve"> </w:t>
            </w:r>
          </w:p>
        </w:tc>
        <w:tc>
          <w:tcPr>
            <w:tcW w:w="5055" w:type="dxa"/>
          </w:tcPr>
          <w:p w14:paraId="4D52E62C" w14:textId="110876D7" w:rsidR="0084229F" w:rsidRPr="004F0E71" w:rsidRDefault="0084229F" w:rsidP="0084229F">
            <w:pPr>
              <w:spacing w:after="0" w:line="240" w:lineRule="auto"/>
              <w:jc w:val="both"/>
              <w:rPr>
                <w:rFonts w:ascii="Times New Roman" w:hAnsi="Times New Roman"/>
                <w:b/>
              </w:rPr>
            </w:pPr>
            <w:r w:rsidRPr="004F0E71">
              <w:rPr>
                <w:rFonts w:ascii="Times New Roman" w:hAnsi="Times New Roman"/>
                <w:b/>
              </w:rPr>
              <w:t>6.6.3.</w:t>
            </w:r>
            <w:r w:rsidRPr="004F0E71">
              <w:rPr>
                <w:rFonts w:ascii="Times New Roman" w:hAnsi="Times New Roman"/>
              </w:rPr>
              <w:tab/>
              <w:t xml:space="preserve">Her bir piyasa katılımcısı için kesinleşmiş takas miktarı, ilgili katılımcının onaylanmış satış tekliflerinden alış tekliflerinin çıkarılmasıyla hesaplanır. İlgili ticaret aralığı içerisinde işlemin yapıldığı gün dikkate alınarak, sonucun pozitif olduğu durumda </w:t>
            </w:r>
            <w:r w:rsidRPr="004F0E71">
              <w:rPr>
                <w:rFonts w:ascii="Times New Roman" w:hAnsi="Times New Roman"/>
                <w:strike/>
                <w:color w:val="C00000"/>
              </w:rPr>
              <w:t>satış yönlü değerler</w:t>
            </w:r>
            <w:r w:rsidRPr="004F0E71">
              <w:rPr>
                <w:rFonts w:ascii="Times New Roman" w:hAnsi="Times New Roman"/>
              </w:rPr>
              <w:t xml:space="preserve"> </w:t>
            </w:r>
            <w:r w:rsidRPr="004F0E71">
              <w:rPr>
                <w:rFonts w:ascii="Times New Roman" w:hAnsi="Times New Roman"/>
                <w:color w:val="0070C0"/>
                <w:u w:val="single"/>
              </w:rPr>
              <w:t>sonuç değeri</w:t>
            </w:r>
            <w:r w:rsidRPr="004F0E71">
              <w:rPr>
                <w:rFonts w:ascii="Times New Roman" w:hAnsi="Times New Roman"/>
              </w:rPr>
              <w:t xml:space="preserve"> katılımcının EPİAŞ UDN Çıkış noktasında, negatif olduğu durumda ise sonucun mutlak değeri katılımcının EPİAŞ UDN Giriş noktasında TMB/TMDB olarak EBT’ye kaydedilir. Bu doğrultuda günlük ürünler için bir ticaret aralığı içerisinde EPİAŞ tarafından EBT’ye G-1, G ve G+1’de kesinleşmiş takas miktarları ve haftalık ürünleri (hafta içi ürünü, hafta sonu ürünü ve haftalık ürün)için her Cuma günü itibarıyla gün bazında, Madde 6.6.1’de belirtilen dört ayrı zaman dilimi akabinde gönderilir .</w:t>
            </w:r>
          </w:p>
        </w:tc>
      </w:tr>
      <w:tr w:rsidR="00596FFE" w:rsidRPr="004F0E71" w14:paraId="6E5726D0" w14:textId="77777777" w:rsidTr="00203369">
        <w:trPr>
          <w:trHeight w:val="216"/>
        </w:trPr>
        <w:tc>
          <w:tcPr>
            <w:tcW w:w="5054" w:type="dxa"/>
          </w:tcPr>
          <w:p w14:paraId="4AA3FB2E" w14:textId="77777777" w:rsidR="000318BB" w:rsidRPr="004F0E71" w:rsidRDefault="000318BB" w:rsidP="000318BB">
            <w:pPr>
              <w:spacing w:after="0" w:line="240" w:lineRule="auto"/>
              <w:jc w:val="both"/>
              <w:rPr>
                <w:rFonts w:ascii="Times New Roman" w:hAnsi="Times New Roman"/>
                <w:b/>
              </w:rPr>
            </w:pPr>
            <w:r w:rsidRPr="004F0E71">
              <w:rPr>
                <w:rFonts w:ascii="Times New Roman" w:hAnsi="Times New Roman"/>
                <w:b/>
              </w:rPr>
              <w:lastRenderedPageBreak/>
              <w:t>6.5. STP’de Tekliflerin Eşleşmesi</w:t>
            </w:r>
          </w:p>
          <w:p w14:paraId="0FE7E204" w14:textId="77777777" w:rsidR="00596FFE" w:rsidRPr="004F0E71" w:rsidRDefault="000318B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w:t>
            </w:r>
          </w:p>
        </w:tc>
        <w:tc>
          <w:tcPr>
            <w:tcW w:w="5054" w:type="dxa"/>
          </w:tcPr>
          <w:p w14:paraId="4DD65FCF" w14:textId="77777777" w:rsidR="00596FFE" w:rsidRPr="004F0E71" w:rsidRDefault="000318BB" w:rsidP="000318BB">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 xml:space="preserve">STP’de tekliflerin eşleşmesine ilişkin olarak </w:t>
            </w:r>
            <w:r w:rsidR="00596FFE" w:rsidRPr="004F0E71">
              <w:rPr>
                <w:rFonts w:ascii="Times New Roman" w:eastAsia="Times New Roman" w:hAnsi="Times New Roman"/>
                <w:spacing w:val="-2"/>
                <w:lang w:eastAsia="tr-TR"/>
              </w:rPr>
              <w:t>yapılan itirazlar</w:t>
            </w:r>
            <w:r w:rsidRPr="004F0E71">
              <w:rPr>
                <w:rFonts w:ascii="Times New Roman" w:eastAsia="Times New Roman" w:hAnsi="Times New Roman"/>
                <w:spacing w:val="-2"/>
                <w:lang w:eastAsia="tr-TR"/>
              </w:rPr>
              <w:t xml:space="preserve">a dair hükümler </w:t>
            </w:r>
            <w:r w:rsidR="00596FFE" w:rsidRPr="004F0E71">
              <w:rPr>
                <w:rFonts w:ascii="Times New Roman" w:eastAsia="Times New Roman" w:hAnsi="Times New Roman"/>
                <w:spacing w:val="-2"/>
                <w:lang w:eastAsia="tr-TR"/>
              </w:rPr>
              <w:t>eklenmiştir.</w:t>
            </w:r>
          </w:p>
        </w:tc>
        <w:tc>
          <w:tcPr>
            <w:tcW w:w="5055" w:type="dxa"/>
          </w:tcPr>
          <w:p w14:paraId="3426766B" w14:textId="77777777" w:rsidR="000318BB" w:rsidRPr="004F0E71" w:rsidRDefault="000318BB" w:rsidP="000318BB">
            <w:pPr>
              <w:spacing w:after="0" w:line="240" w:lineRule="auto"/>
              <w:jc w:val="both"/>
              <w:rPr>
                <w:rFonts w:ascii="Times New Roman" w:hAnsi="Times New Roman"/>
                <w:b/>
              </w:rPr>
            </w:pPr>
            <w:r w:rsidRPr="004F0E71">
              <w:rPr>
                <w:rFonts w:ascii="Times New Roman" w:hAnsi="Times New Roman"/>
                <w:b/>
              </w:rPr>
              <w:t>6.5. STP’de Tekliflerin Eşleşmesi</w:t>
            </w:r>
          </w:p>
          <w:p w14:paraId="4299C821" w14:textId="77777777" w:rsidR="000318BB" w:rsidRPr="004F0E71" w:rsidRDefault="000318B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w:t>
            </w:r>
          </w:p>
          <w:p w14:paraId="209F6AFD" w14:textId="00EAD34E" w:rsidR="00596FFE" w:rsidRPr="004F0E71" w:rsidRDefault="00596FFE"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color w:val="0070C0"/>
                <w:spacing w:val="-2"/>
                <w:u w:val="single"/>
                <w:lang w:eastAsia="tr-TR"/>
              </w:rPr>
            </w:pPr>
            <w:r w:rsidRPr="004F0E71">
              <w:rPr>
                <w:rFonts w:ascii="Times New Roman" w:eastAsia="Times New Roman" w:hAnsi="Times New Roman"/>
                <w:b/>
                <w:color w:val="0070C0"/>
                <w:spacing w:val="-2"/>
                <w:u w:val="single"/>
                <w:lang w:eastAsia="tr-TR"/>
              </w:rPr>
              <w:t>6.5.</w:t>
            </w:r>
            <w:r w:rsidR="000318BB" w:rsidRPr="004F0E71">
              <w:rPr>
                <w:rFonts w:ascii="Times New Roman" w:eastAsia="Times New Roman" w:hAnsi="Times New Roman"/>
                <w:b/>
                <w:color w:val="0070C0"/>
                <w:spacing w:val="-2"/>
                <w:u w:val="single"/>
                <w:lang w:eastAsia="tr-TR"/>
              </w:rPr>
              <w:t>5</w:t>
            </w:r>
            <w:r w:rsidRPr="004F0E71">
              <w:rPr>
                <w:rFonts w:ascii="Times New Roman" w:eastAsia="Times New Roman" w:hAnsi="Times New Roman"/>
                <w:b/>
                <w:color w:val="0070C0"/>
                <w:spacing w:val="-2"/>
                <w:u w:val="single"/>
                <w:lang w:eastAsia="tr-TR"/>
              </w:rPr>
              <w:t>.</w:t>
            </w:r>
            <w:r w:rsidRPr="004F0E71">
              <w:rPr>
                <w:rFonts w:ascii="Times New Roman" w:eastAsia="Times New Roman" w:hAnsi="Times New Roman"/>
                <w:color w:val="0070C0"/>
                <w:spacing w:val="-2"/>
                <w:u w:val="single"/>
                <w:lang w:eastAsia="tr-TR"/>
              </w:rPr>
              <w:tab/>
              <w:t xml:space="preserve">Piyasa katılımcılarına, ticari işlem onaylarına ilişkin bildirimlerde hata bulunması durumunda itiraz edebilmeleri için bildirimden sonra 15 dakika süre tanınır. İtirazlar sadece hatanın Piyasa İşletmecisinden kaynaklanması durumunda kabul edilir. İtirazın </w:t>
            </w:r>
            <w:r w:rsidR="00994B8E" w:rsidRPr="004F0E71">
              <w:rPr>
                <w:rFonts w:ascii="Times New Roman" w:eastAsia="Times New Roman" w:hAnsi="Times New Roman"/>
                <w:color w:val="0070C0"/>
                <w:spacing w:val="-2"/>
                <w:u w:val="single"/>
                <w:lang w:eastAsia="tr-TR"/>
              </w:rPr>
              <w:t>Piyasa İşletmecisi tarafından kabul edilmesi</w:t>
            </w:r>
            <w:r w:rsidRPr="004F0E71">
              <w:rPr>
                <w:rFonts w:ascii="Times New Roman" w:eastAsia="Times New Roman" w:hAnsi="Times New Roman"/>
                <w:color w:val="0070C0"/>
                <w:spacing w:val="-2"/>
                <w:u w:val="single"/>
                <w:lang w:eastAsia="tr-TR"/>
              </w:rPr>
              <w:t xml:space="preserve"> durumunda, Piyasa İşletmecisi düzeltilmiş ticari işlem onayını ilgili piyasa katılımcılarına gönderir.</w:t>
            </w:r>
          </w:p>
          <w:p w14:paraId="1ED82CF3" w14:textId="4E77B5F6" w:rsidR="00596FFE" w:rsidRPr="004F0E71" w:rsidRDefault="000318B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color w:val="0070C0"/>
                <w:spacing w:val="-2"/>
                <w:u w:val="single"/>
                <w:lang w:eastAsia="tr-TR"/>
              </w:rPr>
            </w:pPr>
            <w:r w:rsidRPr="004F0E71">
              <w:rPr>
                <w:rFonts w:ascii="Times New Roman" w:eastAsia="Times New Roman" w:hAnsi="Times New Roman"/>
                <w:b/>
                <w:color w:val="0070C0"/>
                <w:spacing w:val="-2"/>
                <w:u w:val="single"/>
                <w:lang w:eastAsia="tr-TR"/>
              </w:rPr>
              <w:t>6.5.6</w:t>
            </w:r>
            <w:r w:rsidR="00596FFE" w:rsidRPr="004F0E71">
              <w:rPr>
                <w:rFonts w:ascii="Times New Roman" w:eastAsia="Times New Roman" w:hAnsi="Times New Roman"/>
                <w:b/>
                <w:color w:val="0070C0"/>
                <w:spacing w:val="-2"/>
                <w:u w:val="single"/>
                <w:lang w:eastAsia="tr-TR"/>
              </w:rPr>
              <w:t>.</w:t>
            </w:r>
            <w:r w:rsidR="00596FFE" w:rsidRPr="004F0E71">
              <w:rPr>
                <w:rFonts w:ascii="Times New Roman" w:eastAsia="Times New Roman" w:hAnsi="Times New Roman"/>
                <w:color w:val="0070C0"/>
                <w:spacing w:val="-2"/>
                <w:u w:val="single"/>
                <w:lang w:eastAsia="tr-TR"/>
              </w:rPr>
              <w:tab/>
              <w:t>Yapılan itiraz</w:t>
            </w:r>
            <w:r w:rsidR="00994B8E" w:rsidRPr="004F0E71">
              <w:rPr>
                <w:rFonts w:ascii="Times New Roman" w:eastAsia="Times New Roman" w:hAnsi="Times New Roman"/>
                <w:color w:val="0070C0"/>
                <w:spacing w:val="-2"/>
                <w:u w:val="single"/>
                <w:lang w:eastAsia="tr-TR"/>
              </w:rPr>
              <w:t>ın</w:t>
            </w:r>
            <w:r w:rsidR="00596FFE" w:rsidRPr="004F0E71">
              <w:rPr>
                <w:rFonts w:ascii="Times New Roman" w:eastAsia="Times New Roman" w:hAnsi="Times New Roman"/>
                <w:color w:val="0070C0"/>
                <w:spacing w:val="-2"/>
                <w:u w:val="single"/>
                <w:lang w:eastAsia="tr-TR"/>
              </w:rPr>
              <w:t xml:space="preserve"> Piyasa İşletmecisi tarafından </w:t>
            </w:r>
            <w:r w:rsidR="00994B8E" w:rsidRPr="004F0E71">
              <w:rPr>
                <w:rFonts w:ascii="Times New Roman" w:eastAsia="Times New Roman" w:hAnsi="Times New Roman"/>
                <w:color w:val="0070C0"/>
                <w:spacing w:val="-2"/>
                <w:u w:val="single"/>
                <w:lang w:eastAsia="tr-TR"/>
              </w:rPr>
              <w:t>kabul edilmemesi halinde</w:t>
            </w:r>
            <w:r w:rsidR="00596FFE" w:rsidRPr="004F0E71">
              <w:rPr>
                <w:rFonts w:ascii="Times New Roman" w:eastAsia="Times New Roman" w:hAnsi="Times New Roman"/>
                <w:color w:val="0070C0"/>
                <w:spacing w:val="-2"/>
                <w:u w:val="single"/>
                <w:lang w:eastAsia="tr-TR"/>
              </w:rPr>
              <w:t>, ilgili piyasa katılımcısının yükümlülükleri</w:t>
            </w:r>
            <w:r w:rsidR="00994B8E" w:rsidRPr="004F0E71">
              <w:rPr>
                <w:rFonts w:ascii="Times New Roman" w:eastAsia="Times New Roman" w:hAnsi="Times New Roman"/>
                <w:color w:val="0070C0"/>
                <w:spacing w:val="-2"/>
                <w:u w:val="single"/>
                <w:lang w:eastAsia="tr-TR"/>
              </w:rPr>
              <w:t xml:space="preserve"> devam eder</w:t>
            </w:r>
            <w:r w:rsidR="00596FFE" w:rsidRPr="004F0E71">
              <w:rPr>
                <w:rFonts w:ascii="Times New Roman" w:eastAsia="Times New Roman" w:hAnsi="Times New Roman"/>
                <w:color w:val="0070C0"/>
                <w:spacing w:val="-2"/>
                <w:u w:val="single"/>
                <w:lang w:eastAsia="tr-TR"/>
              </w:rPr>
              <w:t>. Kendisine tanınan süre içinde itirazda bulunmayan piyasa katılımcısı, ticari işlem onayını tüm içeriğiyle birlikte kabul etmiş sayılır. Yapılan ticari işlem onayları, itiraz süresinin tamamlanmasından sonra piyasa katılımcısının yükümlülüğü çerçevesinde sözleşme niteliği kazanır.</w:t>
            </w:r>
          </w:p>
          <w:p w14:paraId="6641333A" w14:textId="66C7761E" w:rsidR="00596FFE" w:rsidRPr="004F0E71" w:rsidRDefault="00596FFE" w:rsidP="002D06FD">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color w:val="0070C0"/>
                <w:spacing w:val="-2"/>
                <w:u w:val="single"/>
                <w:lang w:eastAsia="tr-TR"/>
              </w:rPr>
              <w:t>6.5.</w:t>
            </w:r>
            <w:r w:rsidR="000318BB" w:rsidRPr="004F0E71">
              <w:rPr>
                <w:rFonts w:ascii="Times New Roman" w:eastAsia="Times New Roman" w:hAnsi="Times New Roman"/>
                <w:b/>
                <w:color w:val="0070C0"/>
                <w:spacing w:val="-2"/>
                <w:u w:val="single"/>
                <w:lang w:eastAsia="tr-TR"/>
              </w:rPr>
              <w:t>7</w:t>
            </w:r>
            <w:r w:rsidRPr="004F0E71">
              <w:rPr>
                <w:rFonts w:ascii="Times New Roman" w:eastAsia="Times New Roman" w:hAnsi="Times New Roman"/>
                <w:b/>
                <w:color w:val="0070C0"/>
                <w:spacing w:val="-2"/>
                <w:u w:val="single"/>
                <w:lang w:eastAsia="tr-TR"/>
              </w:rPr>
              <w:t>.</w:t>
            </w:r>
            <w:r w:rsidRPr="004F0E71">
              <w:rPr>
                <w:rFonts w:ascii="Times New Roman" w:eastAsia="Times New Roman" w:hAnsi="Times New Roman"/>
                <w:color w:val="0070C0"/>
                <w:spacing w:val="-2"/>
                <w:u w:val="single"/>
                <w:lang w:eastAsia="tr-TR"/>
              </w:rPr>
              <w:tab/>
              <w:t xml:space="preserve">Piyasa İşletmecisi tarafından </w:t>
            </w:r>
            <w:r w:rsidR="002D06FD" w:rsidRPr="004F0E71">
              <w:rPr>
                <w:rFonts w:ascii="Times New Roman" w:eastAsia="Times New Roman" w:hAnsi="Times New Roman"/>
                <w:color w:val="0070C0"/>
                <w:spacing w:val="-2"/>
                <w:u w:val="single"/>
                <w:lang w:eastAsia="tr-TR"/>
              </w:rPr>
              <w:t>kabul edilmeyen</w:t>
            </w:r>
            <w:r w:rsidRPr="004F0E71">
              <w:rPr>
                <w:rFonts w:ascii="Times New Roman" w:eastAsia="Times New Roman" w:hAnsi="Times New Roman"/>
                <w:color w:val="0070C0"/>
                <w:spacing w:val="-2"/>
                <w:u w:val="single"/>
                <w:lang w:eastAsia="tr-TR"/>
              </w:rPr>
              <w:t xml:space="preserve"> itiraz</w:t>
            </w:r>
            <w:r w:rsidR="002D06FD" w:rsidRPr="004F0E71">
              <w:rPr>
                <w:rFonts w:ascii="Times New Roman" w:eastAsia="Times New Roman" w:hAnsi="Times New Roman"/>
                <w:color w:val="0070C0"/>
                <w:spacing w:val="-2"/>
                <w:u w:val="single"/>
                <w:lang w:eastAsia="tr-TR"/>
              </w:rPr>
              <w:t xml:space="preserve">a ilişkin </w:t>
            </w:r>
            <w:r w:rsidRPr="004F0E71">
              <w:rPr>
                <w:rFonts w:ascii="Times New Roman" w:eastAsia="Times New Roman" w:hAnsi="Times New Roman"/>
                <w:color w:val="0070C0"/>
                <w:spacing w:val="-2"/>
                <w:u w:val="single"/>
                <w:lang w:eastAsia="tr-TR"/>
              </w:rPr>
              <w:t>ücret, Kurul Kararı ile belirlenir ve piyasa katılımcısının piyasa işletim ücretine ilave edilir.</w:t>
            </w:r>
          </w:p>
        </w:tc>
      </w:tr>
      <w:tr w:rsidR="006F6B37" w:rsidRPr="004F0E71" w14:paraId="1FCAA57E" w14:textId="77777777" w:rsidTr="00203369">
        <w:trPr>
          <w:trHeight w:val="216"/>
        </w:trPr>
        <w:tc>
          <w:tcPr>
            <w:tcW w:w="5054" w:type="dxa"/>
          </w:tcPr>
          <w:p w14:paraId="2078E53D" w14:textId="77777777" w:rsidR="000318BB" w:rsidRPr="004F0E71" w:rsidRDefault="000318BB" w:rsidP="000318BB">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7.4. Dengesizliklerin Uzlaştırılması Sonucu Oluşan Bakiyenin Sıfırlanması</w:t>
            </w:r>
          </w:p>
          <w:p w14:paraId="58FF0962" w14:textId="77777777" w:rsidR="000318BB" w:rsidRPr="004F0E71" w:rsidRDefault="000318B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w:t>
            </w:r>
          </w:p>
          <w:p w14:paraId="4B17E598" w14:textId="77777777" w:rsidR="006F6B37" w:rsidRPr="004F0E71" w:rsidRDefault="006F6B37"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t>7.4.4.2.</w:t>
            </w:r>
            <w:r w:rsidRPr="004F0E71">
              <w:rPr>
                <w:rFonts w:ascii="Times New Roman" w:eastAsia="Times New Roman" w:hAnsi="Times New Roman"/>
                <w:spacing w:val="-2"/>
                <w:lang w:eastAsia="tr-TR"/>
              </w:rPr>
              <w:tab/>
              <w:t>Piyasa işlemleriyle orantılı olarak piyasa katılımcılarına yansıtılacak tutar hesaplanırken; ilgili piyasa katılımcısının alış yönlü işlemlerinin azami olarak iletim sisteminden fiziki olarak yaptığı çıkış kadar miktarı, satış yönlü işlemlerinin ise azami olarak iletim sistemine fiziki olarak yaptığı giriş kadar miktarı dikkate alınır</w:t>
            </w:r>
            <w:r w:rsidRPr="004F0E71">
              <w:rPr>
                <w:rFonts w:ascii="Times New Roman" w:eastAsia="Times New Roman" w:hAnsi="Times New Roman"/>
                <w:color w:val="365F91" w:themeColor="accent1" w:themeShade="BF"/>
                <w:spacing w:val="-2"/>
                <w:lang w:eastAsia="tr-TR"/>
              </w:rPr>
              <w:t xml:space="preserve">. </w:t>
            </w:r>
            <w:r w:rsidRPr="004F0E71">
              <w:rPr>
                <w:rFonts w:ascii="Times New Roman" w:eastAsia="Times New Roman" w:hAnsi="Times New Roman"/>
                <w:spacing w:val="-2"/>
                <w:lang w:eastAsia="tr-TR"/>
              </w:rPr>
              <w:t>Piyasa katılımcılarının kendileri ile gerçekleştirdikleri eşleşmeler aşağıdaki BAST formülünde dikkate alınmaz.</w:t>
            </w:r>
            <w:r w:rsidRPr="004F0E71">
              <w:rPr>
                <w:rFonts w:ascii="Times New Roman" w:eastAsia="Times New Roman" w:hAnsi="Times New Roman"/>
                <w:color w:val="365F91" w:themeColor="accent1" w:themeShade="BF"/>
                <w:spacing w:val="-2"/>
                <w:lang w:eastAsia="tr-TR"/>
              </w:rPr>
              <w:t xml:space="preserve"> </w:t>
            </w:r>
            <w:r w:rsidRPr="004F0E71">
              <w:rPr>
                <w:rFonts w:ascii="Times New Roman" w:eastAsia="Times New Roman" w:hAnsi="Times New Roman"/>
                <w:spacing w:val="-2"/>
                <w:lang w:eastAsia="tr-TR"/>
              </w:rPr>
              <w:t xml:space="preserve">İlgili güne ait eşleşme olmaması veya aşağıdaki formüle göre BASTp işleminde pay veya paydasının sıfır olarak hesaplanması </w:t>
            </w:r>
            <w:r w:rsidRPr="004F0E71">
              <w:rPr>
                <w:rFonts w:ascii="Times New Roman" w:eastAsia="Times New Roman" w:hAnsi="Times New Roman"/>
                <w:spacing w:val="-2"/>
                <w:lang w:eastAsia="tr-TR"/>
              </w:rPr>
              <w:lastRenderedPageBreak/>
              <w:t>durumlarında BAST tutarı 7.4.4.1 maddesindeki BAST formülündeki çıkış miktarlarına ilişkin olarak dağıtılacak BAST’ın hesaplanmasında kullanılan 0,6 katsayısı yerine 0,9 katsayısı uygulanarak sistem kullanıcılarına yansıtılır.</w:t>
            </w:r>
          </w:p>
        </w:tc>
        <w:tc>
          <w:tcPr>
            <w:tcW w:w="5054" w:type="dxa"/>
          </w:tcPr>
          <w:p w14:paraId="6ECFCEC2" w14:textId="77777777" w:rsidR="006F6B37" w:rsidRPr="004F0E71" w:rsidRDefault="00E23956" w:rsidP="00E23956">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i/>
                <w:spacing w:val="-2"/>
                <w:lang w:eastAsia="tr-TR"/>
              </w:rPr>
              <w:lastRenderedPageBreak/>
              <w:t>PUE’ye “6.5.4.</w:t>
            </w:r>
            <w:r w:rsidRPr="004F0E71">
              <w:rPr>
                <w:rFonts w:ascii="Times New Roman" w:eastAsia="Times New Roman" w:hAnsi="Times New Roman"/>
                <w:i/>
                <w:spacing w:val="-2"/>
                <w:lang w:eastAsia="tr-TR"/>
              </w:rPr>
              <w:tab/>
              <w:t xml:space="preserve">Piyasa işletmecisi, piyasa katılımcılarının kendi teklifleri ile eşleşmelerini engellemek için mevcut yazılım üzerinde gerekli tedbirleri alır.” </w:t>
            </w:r>
            <w:r w:rsidRPr="004F0E71">
              <w:rPr>
                <w:rFonts w:ascii="Times New Roman" w:eastAsia="Times New Roman" w:hAnsi="Times New Roman"/>
                <w:spacing w:val="-2"/>
                <w:lang w:eastAsia="tr-TR"/>
              </w:rPr>
              <w:t>hükmünün eklenmesiyle birlikte</w:t>
            </w:r>
            <w:r w:rsidRPr="004F0E71">
              <w:rPr>
                <w:rFonts w:ascii="Times New Roman" w:eastAsia="Times New Roman" w:hAnsi="Times New Roman"/>
                <w:i/>
                <w:spacing w:val="-2"/>
                <w:lang w:eastAsia="tr-TR"/>
              </w:rPr>
              <w:t xml:space="preserve"> </w:t>
            </w:r>
            <w:r w:rsidR="006F6B37" w:rsidRPr="004F0E71">
              <w:rPr>
                <w:rFonts w:ascii="Times New Roman" w:eastAsia="Times New Roman" w:hAnsi="Times New Roman"/>
                <w:spacing w:val="-2"/>
                <w:lang w:eastAsia="tr-TR"/>
              </w:rPr>
              <w:t>7.4.4.2. maddesinde</w:t>
            </w:r>
            <w:r w:rsidRPr="004F0E71">
              <w:rPr>
                <w:rFonts w:ascii="Times New Roman" w:eastAsia="Times New Roman" w:hAnsi="Times New Roman"/>
                <w:spacing w:val="-2"/>
                <w:lang w:eastAsia="tr-TR"/>
              </w:rPr>
              <w:t xml:space="preserve"> yer alan</w:t>
            </w:r>
            <w:r w:rsidR="006F6B37" w:rsidRPr="004F0E71">
              <w:rPr>
                <w:rFonts w:ascii="Times New Roman" w:eastAsia="Times New Roman" w:hAnsi="Times New Roman"/>
                <w:spacing w:val="-2"/>
                <w:lang w:eastAsia="tr-TR"/>
              </w:rPr>
              <w:t xml:space="preserve"> </w:t>
            </w:r>
            <w:r w:rsidR="006F6B37" w:rsidRPr="004F0E71">
              <w:rPr>
                <w:rFonts w:ascii="Times New Roman" w:eastAsia="Times New Roman" w:hAnsi="Times New Roman"/>
                <w:i/>
                <w:spacing w:val="-2"/>
                <w:lang w:eastAsia="tr-TR"/>
              </w:rPr>
              <w:t xml:space="preserve">“Piyasa katılımcılarının kendileri ile gerçekleştirdikleri eşleşmeler aşağıdaki BAST formülünde dikkate alınmaz.” </w:t>
            </w:r>
            <w:r w:rsidRPr="004F0E71">
              <w:rPr>
                <w:rFonts w:ascii="Times New Roman" w:eastAsia="Times New Roman" w:hAnsi="Times New Roman"/>
                <w:spacing w:val="-2"/>
                <w:lang w:eastAsia="tr-TR"/>
              </w:rPr>
              <w:t xml:space="preserve">ibaresine ihtiyaç kalmadığından ve </w:t>
            </w:r>
            <w:r w:rsidR="00833C3F" w:rsidRPr="004F0E71">
              <w:rPr>
                <w:rFonts w:ascii="Times New Roman" w:eastAsia="Times New Roman" w:hAnsi="Times New Roman"/>
                <w:spacing w:val="-2"/>
                <w:lang w:eastAsia="tr-TR"/>
              </w:rPr>
              <w:t xml:space="preserve">STP’de katılımcılar kendisi ile eşleşemediğinden </w:t>
            </w:r>
            <w:r w:rsidRPr="004F0E71">
              <w:rPr>
                <w:rFonts w:ascii="Times New Roman" w:eastAsia="Times New Roman" w:hAnsi="Times New Roman"/>
                <w:spacing w:val="-2"/>
                <w:lang w:eastAsia="tr-TR"/>
              </w:rPr>
              <w:t xml:space="preserve">ilgili cümle </w:t>
            </w:r>
            <w:r w:rsidR="006F6B37" w:rsidRPr="004F0E71">
              <w:rPr>
                <w:rFonts w:ascii="Times New Roman" w:eastAsia="Times New Roman" w:hAnsi="Times New Roman"/>
                <w:spacing w:val="-2"/>
                <w:lang w:eastAsia="tr-TR"/>
              </w:rPr>
              <w:t>madde metninden çıkarılmıştır.</w:t>
            </w:r>
          </w:p>
        </w:tc>
        <w:tc>
          <w:tcPr>
            <w:tcW w:w="5055" w:type="dxa"/>
          </w:tcPr>
          <w:p w14:paraId="353BE0D0" w14:textId="77777777" w:rsidR="000318BB" w:rsidRPr="004F0E71" w:rsidRDefault="000318BB" w:rsidP="000318BB">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7.4. Dengesizliklerin Uzlaştırılması Sonucu Oluşan Bakiyenin Sıfırlanması</w:t>
            </w:r>
          </w:p>
          <w:p w14:paraId="552C5A9C" w14:textId="77777777" w:rsidR="000318BB" w:rsidRPr="004F0E71" w:rsidRDefault="000318BB" w:rsidP="000318BB">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w:t>
            </w:r>
          </w:p>
          <w:p w14:paraId="219D04B7" w14:textId="77777777" w:rsidR="006F6B37" w:rsidRPr="004F0E71" w:rsidRDefault="006F6B37"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t>7.4.4.2.</w:t>
            </w:r>
            <w:r w:rsidRPr="004F0E71">
              <w:rPr>
                <w:rFonts w:ascii="Times New Roman" w:eastAsia="Times New Roman" w:hAnsi="Times New Roman"/>
                <w:b/>
                <w:spacing w:val="-2"/>
                <w:lang w:eastAsia="tr-TR"/>
              </w:rPr>
              <w:tab/>
            </w:r>
            <w:r w:rsidRPr="004F0E71">
              <w:rPr>
                <w:rFonts w:ascii="Times New Roman" w:eastAsia="Times New Roman" w:hAnsi="Times New Roman"/>
                <w:spacing w:val="-2"/>
                <w:lang w:eastAsia="tr-TR"/>
              </w:rPr>
              <w:t xml:space="preserve">Piyasa işlemleriyle orantılı olarak piyasa katılımcılarına yansıtılacak tutar hesaplanırken; ilgili piyasa katılımcısının alış yönlü işlemlerinin azami olarak iletim sisteminden fiziki olarak yaptığı çıkış kadar miktarı, satış yönlü işlemlerinin ise azami olarak iletim sistemine fiziki olarak yaptığı giriş kadar miktarı dikkate alınır. </w:t>
            </w:r>
            <w:r w:rsidR="00FA0916" w:rsidRPr="004F0E71">
              <w:rPr>
                <w:rFonts w:ascii="Times New Roman" w:eastAsia="Times New Roman" w:hAnsi="Times New Roman"/>
                <w:strike/>
                <w:color w:val="C00000"/>
                <w:spacing w:val="-2"/>
                <w:lang w:eastAsia="tr-TR"/>
              </w:rPr>
              <w:t>Piyasa katılımcılarının kendileri ile gerçekleştirdikleri eşleşmeler aşağıdaki BAST formülünde dikkate alınmaz.</w:t>
            </w:r>
            <w:r w:rsidR="00FA0916" w:rsidRPr="004F0E71">
              <w:rPr>
                <w:rFonts w:ascii="Times New Roman" w:eastAsia="Times New Roman" w:hAnsi="Times New Roman"/>
                <w:color w:val="365F91" w:themeColor="accent1" w:themeShade="BF"/>
                <w:spacing w:val="-2"/>
                <w:lang w:eastAsia="tr-TR"/>
              </w:rPr>
              <w:t xml:space="preserve"> </w:t>
            </w:r>
            <w:r w:rsidRPr="004F0E71">
              <w:rPr>
                <w:rFonts w:ascii="Times New Roman" w:eastAsia="Times New Roman" w:hAnsi="Times New Roman"/>
                <w:spacing w:val="-2"/>
                <w:lang w:eastAsia="tr-TR"/>
              </w:rPr>
              <w:t xml:space="preserve">İlgili güne ait eşleşme olmaması veya aşağıdaki formüle göre BASTp işleminde pay veya paydasının sıfır olarak hesaplanması </w:t>
            </w:r>
            <w:r w:rsidRPr="004F0E71">
              <w:rPr>
                <w:rFonts w:ascii="Times New Roman" w:eastAsia="Times New Roman" w:hAnsi="Times New Roman"/>
                <w:spacing w:val="-2"/>
                <w:lang w:eastAsia="tr-TR"/>
              </w:rPr>
              <w:lastRenderedPageBreak/>
              <w:t>durumlarında BAST tutarı 7.4.4.1 maddesindeki BAST formülündeki çıkış miktarlarına ilişkin olarak dağıtılacak BAST’ın hesaplanmasında kullanılan 0,4 katsayısı yerine 0,8 katsayısı uygulanarak sistem kullanıcılarına yansıtılır.</w:t>
            </w:r>
          </w:p>
        </w:tc>
      </w:tr>
      <w:tr w:rsidR="00071D92" w:rsidRPr="004F0E71" w14:paraId="7C93BAB5" w14:textId="77777777" w:rsidTr="00203369">
        <w:trPr>
          <w:trHeight w:val="216"/>
        </w:trPr>
        <w:tc>
          <w:tcPr>
            <w:tcW w:w="5054" w:type="dxa"/>
          </w:tcPr>
          <w:p w14:paraId="1825CCFB" w14:textId="3B8DF312" w:rsidR="00071D92" w:rsidRPr="004F0E71" w:rsidRDefault="00071D92" w:rsidP="002D06FD">
            <w:pPr>
              <w:spacing w:after="0" w:line="240" w:lineRule="auto"/>
              <w:jc w:val="both"/>
              <w:rPr>
                <w:rFonts w:ascii="Times New Roman" w:eastAsia="Times New Roman" w:hAnsi="Times New Roman"/>
                <w:b/>
                <w:spacing w:val="-2"/>
                <w:lang w:eastAsia="tr-TR"/>
              </w:rPr>
            </w:pPr>
            <w:r w:rsidRPr="004F0E71">
              <w:rPr>
                <w:rFonts w:ascii="Times New Roman" w:hAnsi="Times New Roman"/>
                <w:b/>
              </w:rPr>
              <w:lastRenderedPageBreak/>
              <w:t>7.6.2.</w:t>
            </w:r>
            <w:r w:rsidRPr="004F0E71">
              <w:rPr>
                <w:rFonts w:ascii="Times New Roman" w:hAnsi="Times New Roman"/>
              </w:rPr>
              <w:t xml:space="preserve"> Piyasa işletmecisinin bu madde çerçevesinde diğer piyasa katılımcılarına yansıtmış olduğu bedellerin, borç tutarlarını ödememiş olan piyasa katılımcısından özel hukuk hükümleri çerçevesinde sonradan tahsil edilebilmesi durumunda, diğer piyasa katılımcılarına faiziyle birlikte geri ödenir.</w:t>
            </w:r>
          </w:p>
        </w:tc>
        <w:tc>
          <w:tcPr>
            <w:tcW w:w="5054" w:type="dxa"/>
          </w:tcPr>
          <w:p w14:paraId="5E764BED" w14:textId="56ACBAFA" w:rsidR="00071D92" w:rsidRPr="004F0E71" w:rsidRDefault="00071D92" w:rsidP="002D06FD">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 xml:space="preserve">Tahsil edilemeyen alacağın tamamı değil sadece bir kısmının da tahsil edilmesi mümkündür. </w:t>
            </w:r>
            <w:r w:rsidR="002D06FD" w:rsidRPr="004F0E71">
              <w:rPr>
                <w:rFonts w:ascii="Times New Roman" w:eastAsia="Times New Roman" w:hAnsi="Times New Roman"/>
                <w:spacing w:val="-2"/>
                <w:lang w:eastAsia="tr-TR"/>
              </w:rPr>
              <w:t xml:space="preserve">Kısmi tahsilin söz konusu olduğu durumlar için de ifade eklenmektedir. Kısmi tahsil ile ilgili olarak eklenen ifadeyle birlikte tahsil edilen tutar (anapara veya faiz) ne kadar ise bu tutar geri ödeneceğinden “faiziyle birlikte” ibaresine ihtiyaç duyulmadığından madde metninden çıkarılmaktadır. </w:t>
            </w:r>
          </w:p>
        </w:tc>
        <w:tc>
          <w:tcPr>
            <w:tcW w:w="5055" w:type="dxa"/>
          </w:tcPr>
          <w:p w14:paraId="23512F63" w14:textId="4FB2C2BE" w:rsidR="00071D92" w:rsidRPr="004F0E71" w:rsidRDefault="00071D92" w:rsidP="002D06FD">
            <w:pPr>
              <w:spacing w:after="0" w:line="240" w:lineRule="auto"/>
              <w:jc w:val="both"/>
              <w:rPr>
                <w:rFonts w:ascii="Times New Roman" w:eastAsia="Times New Roman" w:hAnsi="Times New Roman"/>
                <w:b/>
                <w:spacing w:val="-2"/>
                <w:lang w:eastAsia="tr-TR"/>
              </w:rPr>
            </w:pPr>
            <w:r w:rsidRPr="004F0E71">
              <w:rPr>
                <w:rFonts w:ascii="Times New Roman" w:hAnsi="Times New Roman"/>
                <w:b/>
              </w:rPr>
              <w:t>7.6.2.</w:t>
            </w:r>
            <w:r w:rsidRPr="004F0E71">
              <w:rPr>
                <w:rFonts w:ascii="Times New Roman" w:hAnsi="Times New Roman"/>
              </w:rPr>
              <w:t xml:space="preserve"> Piyasa işletmecisinin bu madde çerçevesinde diğer piyasa katılımcılarına yansıtmış olduğu bedellerin, borç tutarlarını ödememiş olan piyasa katılımcısından özel hukuk hükümleri çerçevesinde sonradan tahsil edilebilmesi durumunda, </w:t>
            </w:r>
            <w:r w:rsidRPr="004F0E71">
              <w:rPr>
                <w:rFonts w:ascii="Times New Roman" w:hAnsi="Times New Roman"/>
                <w:color w:val="0070C0"/>
                <w:u w:val="single"/>
              </w:rPr>
              <w:t xml:space="preserve">tahsil edilen tutar </w:t>
            </w:r>
            <w:r w:rsidRPr="004F0E71">
              <w:rPr>
                <w:rFonts w:ascii="Times New Roman" w:hAnsi="Times New Roman"/>
              </w:rPr>
              <w:t xml:space="preserve">diğer piyasa katılımcılarına </w:t>
            </w:r>
            <w:r w:rsidRPr="004F0E71">
              <w:rPr>
                <w:rFonts w:ascii="Times New Roman" w:hAnsi="Times New Roman"/>
                <w:strike/>
                <w:color w:val="C00000"/>
              </w:rPr>
              <w:t>faiziyle birlikte</w:t>
            </w:r>
            <w:r w:rsidRPr="004F0E71">
              <w:rPr>
                <w:rFonts w:ascii="Times New Roman" w:hAnsi="Times New Roman"/>
              </w:rPr>
              <w:t xml:space="preserve"> geri ödenir.</w:t>
            </w:r>
          </w:p>
        </w:tc>
      </w:tr>
      <w:tr w:rsidR="005F6C91" w:rsidRPr="004F0E71" w14:paraId="6106686C" w14:textId="77777777" w:rsidTr="00203369">
        <w:trPr>
          <w:trHeight w:val="216"/>
        </w:trPr>
        <w:tc>
          <w:tcPr>
            <w:tcW w:w="5054" w:type="dxa"/>
          </w:tcPr>
          <w:p w14:paraId="070F0F23" w14:textId="77777777" w:rsidR="005F6C91" w:rsidRPr="004F0E71" w:rsidRDefault="005F6C91" w:rsidP="005F6C91">
            <w:pPr>
              <w:spacing w:after="0" w:line="240" w:lineRule="auto"/>
              <w:jc w:val="both"/>
              <w:rPr>
                <w:rFonts w:ascii="Times New Roman" w:hAnsi="Times New Roman"/>
                <w:b/>
              </w:rPr>
            </w:pPr>
            <w:r w:rsidRPr="004F0E71">
              <w:rPr>
                <w:rFonts w:ascii="Times New Roman" w:hAnsi="Times New Roman"/>
                <w:b/>
              </w:rPr>
              <w:t>9.2. Günlük İşlem ve Fatura İşlem Teminatları</w:t>
            </w:r>
          </w:p>
          <w:p w14:paraId="67C46830" w14:textId="77777777" w:rsidR="005F6C91" w:rsidRPr="004F0E71" w:rsidRDefault="005F6C91" w:rsidP="005F6C91">
            <w:pPr>
              <w:spacing w:after="0" w:line="240" w:lineRule="auto"/>
              <w:jc w:val="both"/>
              <w:rPr>
                <w:rFonts w:ascii="Times New Roman" w:hAnsi="Times New Roman"/>
                <w:b/>
              </w:rPr>
            </w:pPr>
            <w:r w:rsidRPr="004F0E71">
              <w:rPr>
                <w:rFonts w:ascii="Times New Roman" w:hAnsi="Times New Roman"/>
                <w:b/>
              </w:rPr>
              <w:t>…</w:t>
            </w:r>
          </w:p>
          <w:p w14:paraId="74DDD54C"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b/>
              </w:rPr>
              <w:t>9.2.3.</w:t>
            </w:r>
            <w:r w:rsidRPr="004F0E71">
              <w:rPr>
                <w:rFonts w:ascii="Times New Roman" w:hAnsi="Times New Roman"/>
              </w:rPr>
              <w:t xml:space="preserve"> Bir gaz günü için satış yönlü tekliflerin eşleşmesi durumunda günlük işlem teminatı tutarındaki ve işlem limitindeki değişimler şu şekilde gerçekleşir:</w:t>
            </w:r>
          </w:p>
          <w:p w14:paraId="7D4CB8F8"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a) Piyasa katılımcısına ait her bir satış yönlü teklifin eşleşmesi ile beraber katılımcının önceden bloke edilmiş teminatının bulunması halinde, teminat üzerindeki bloke, satış tutarı kadar azaltılır.</w:t>
            </w:r>
          </w:p>
          <w:p w14:paraId="036105BF"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b) Piyasa katılımcılarının gerçekleştirdikleri satışlar dolayısıyla oluşan tutarlar işlem limitine eklenir ve oluşan toplam tutar alış yönlü işlem limitini oluşturur.</w:t>
            </w:r>
          </w:p>
          <w:p w14:paraId="3C262968" w14:textId="77777777" w:rsidR="005F6C91" w:rsidRPr="004F0E71" w:rsidRDefault="005F6C91" w:rsidP="005F6C91">
            <w:pPr>
              <w:spacing w:after="0" w:line="240" w:lineRule="auto"/>
              <w:jc w:val="both"/>
              <w:rPr>
                <w:rFonts w:ascii="Times New Roman" w:hAnsi="Times New Roman"/>
              </w:rPr>
            </w:pPr>
          </w:p>
          <w:p w14:paraId="1F0F5D64"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c) Bloke edilmiş teminat miktarının satış miktarından az olması durumunda teminatındaki bloke kaldırılır ve ilgili piyasa katılımcısının işlem limiti satış miktarı ile bloke edilmiş teminat tutarının arasındaki fark kadar arttırılır.</w:t>
            </w:r>
          </w:p>
          <w:p w14:paraId="2B7E7A4E" w14:textId="77777777" w:rsidR="005F6C91" w:rsidRPr="004F0E71" w:rsidRDefault="005F6C91" w:rsidP="005F6C91">
            <w:pPr>
              <w:spacing w:after="0" w:line="240" w:lineRule="auto"/>
              <w:jc w:val="both"/>
              <w:rPr>
                <w:rFonts w:ascii="Times New Roman" w:hAnsi="Times New Roman"/>
              </w:rPr>
            </w:pPr>
          </w:p>
          <w:p w14:paraId="2E26C5EC"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ç) Bloke edilmiş teminat bulunmaması halinde ilgili piyasa katılımcısının işlem limiti satış tutarı kadar arttırılır.</w:t>
            </w:r>
          </w:p>
          <w:p w14:paraId="2083C26E"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lastRenderedPageBreak/>
              <w:t>d) Piyasa katılımcısının mevcut alacakları işlem limiti hesabında dikkate alınır.</w:t>
            </w:r>
          </w:p>
          <w:p w14:paraId="6E2E1373" w14:textId="79C6CBAD" w:rsidR="005F6C91" w:rsidRPr="004F0E71" w:rsidRDefault="005F6C91" w:rsidP="005F6C91">
            <w:pPr>
              <w:spacing w:after="0" w:line="240" w:lineRule="auto"/>
              <w:jc w:val="both"/>
              <w:rPr>
                <w:rFonts w:ascii="Times New Roman" w:hAnsi="Times New Roman"/>
                <w:b/>
              </w:rPr>
            </w:pPr>
            <w:r w:rsidRPr="004F0E71">
              <w:rPr>
                <w:rFonts w:ascii="Times New Roman" w:hAnsi="Times New Roman"/>
              </w:rPr>
              <w:t>e) İlgili piyasa katılımcısının işlem limiti piyasa işletmecisinin piyasa katılımcısına avans ödemesine müteakip yapılan avans ödemesi tutarı kadar düşürülür.</w:t>
            </w:r>
          </w:p>
        </w:tc>
        <w:tc>
          <w:tcPr>
            <w:tcW w:w="5054" w:type="dxa"/>
          </w:tcPr>
          <w:p w14:paraId="78AD21ED" w14:textId="473DCDE8" w:rsidR="005F6C91" w:rsidRPr="004F0E71" w:rsidRDefault="002D0E21" w:rsidP="002D0E2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Pr>
                <w:rFonts w:ascii="Times New Roman" w:eastAsia="Times New Roman" w:hAnsi="Times New Roman"/>
                <w:spacing w:val="-2"/>
                <w:lang w:eastAsia="tr-TR"/>
              </w:rPr>
              <w:lastRenderedPageBreak/>
              <w:t xml:space="preserve">En son </w:t>
            </w:r>
            <w:r w:rsidRPr="002D0E21">
              <w:rPr>
                <w:rFonts w:ascii="Times New Roman" w:eastAsia="Times New Roman" w:hAnsi="Times New Roman"/>
                <w:spacing w:val="-2"/>
                <w:lang w:eastAsia="tr-TR"/>
              </w:rPr>
              <w:t xml:space="preserve">23/01/2020 Tarih ve 9138 sayılı Kurul Kararı ile </w:t>
            </w:r>
            <w:r>
              <w:rPr>
                <w:rFonts w:ascii="Times New Roman" w:eastAsia="Times New Roman" w:hAnsi="Times New Roman"/>
                <w:spacing w:val="-2"/>
                <w:lang w:eastAsia="tr-TR"/>
              </w:rPr>
              <w:t>revize edilen</w:t>
            </w:r>
            <w:r w:rsidRPr="002D0E21">
              <w:rPr>
                <w:rFonts w:ascii="Times New Roman" w:eastAsia="Times New Roman" w:hAnsi="Times New Roman"/>
                <w:spacing w:val="-2"/>
                <w:lang w:eastAsia="tr-TR"/>
              </w:rPr>
              <w:t xml:space="preserve"> </w:t>
            </w:r>
            <w:r>
              <w:rPr>
                <w:rFonts w:ascii="Times New Roman" w:eastAsia="Times New Roman" w:hAnsi="Times New Roman"/>
                <w:spacing w:val="-2"/>
                <w:lang w:eastAsia="tr-TR"/>
              </w:rPr>
              <w:t xml:space="preserve">söz konusu bu </w:t>
            </w:r>
            <w:r w:rsidRPr="002D0E21">
              <w:rPr>
                <w:rFonts w:ascii="Times New Roman" w:eastAsia="Times New Roman" w:hAnsi="Times New Roman"/>
                <w:spacing w:val="-2"/>
                <w:lang w:eastAsia="tr-TR"/>
              </w:rPr>
              <w:t>madde</w:t>
            </w:r>
            <w:r>
              <w:rPr>
                <w:rFonts w:ascii="Times New Roman" w:eastAsia="Times New Roman" w:hAnsi="Times New Roman"/>
                <w:spacing w:val="-2"/>
                <w:lang w:eastAsia="tr-TR"/>
              </w:rPr>
              <w:t>nin,</w:t>
            </w:r>
            <w:r w:rsidRPr="002D0E21">
              <w:rPr>
                <w:rFonts w:ascii="Times New Roman" w:eastAsia="Times New Roman" w:hAnsi="Times New Roman"/>
                <w:spacing w:val="-2"/>
                <w:lang w:eastAsia="tr-TR"/>
              </w:rPr>
              <w:t xml:space="preserve"> Haftalık ürünlerin</w:t>
            </w:r>
            <w:r>
              <w:rPr>
                <w:rFonts w:ascii="Times New Roman" w:eastAsia="Times New Roman" w:hAnsi="Times New Roman"/>
                <w:spacing w:val="-2"/>
                <w:lang w:eastAsia="tr-TR"/>
              </w:rPr>
              <w:t xml:space="preserve"> de</w:t>
            </w:r>
            <w:r w:rsidRPr="002D0E21">
              <w:rPr>
                <w:rFonts w:ascii="Times New Roman" w:eastAsia="Times New Roman" w:hAnsi="Times New Roman"/>
                <w:spacing w:val="-2"/>
                <w:lang w:eastAsia="tr-TR"/>
              </w:rPr>
              <w:t xml:space="preserve"> devreye girmesi sonucu </w:t>
            </w:r>
            <w:r>
              <w:rPr>
                <w:rFonts w:ascii="Times New Roman" w:eastAsia="Times New Roman" w:hAnsi="Times New Roman"/>
                <w:spacing w:val="-2"/>
                <w:lang w:eastAsia="tr-TR"/>
              </w:rPr>
              <w:t>yeniden değerlendirilmesi gerekmiştir.</w:t>
            </w:r>
            <w:r w:rsidRPr="002D0E21">
              <w:rPr>
                <w:rFonts w:ascii="Times New Roman" w:eastAsia="Times New Roman" w:hAnsi="Times New Roman"/>
                <w:spacing w:val="-2"/>
                <w:lang w:eastAsia="tr-TR"/>
              </w:rPr>
              <w:t xml:space="preserve"> Bu çalışmalar </w:t>
            </w:r>
            <w:r>
              <w:rPr>
                <w:rFonts w:ascii="Times New Roman" w:eastAsia="Times New Roman" w:hAnsi="Times New Roman"/>
                <w:spacing w:val="-2"/>
                <w:lang w:eastAsia="tr-TR"/>
              </w:rPr>
              <w:t>neticesinde,</w:t>
            </w:r>
            <w:r w:rsidRPr="002D0E21">
              <w:rPr>
                <w:rFonts w:ascii="Times New Roman" w:eastAsia="Times New Roman" w:hAnsi="Times New Roman"/>
                <w:spacing w:val="-2"/>
                <w:lang w:eastAsia="tr-TR"/>
              </w:rPr>
              <w:t xml:space="preserve"> işlem limiti </w:t>
            </w:r>
            <w:r>
              <w:rPr>
                <w:rFonts w:ascii="Times New Roman" w:eastAsia="Times New Roman" w:hAnsi="Times New Roman"/>
                <w:spacing w:val="-2"/>
                <w:lang w:eastAsia="tr-TR"/>
              </w:rPr>
              <w:t>hususu tekrar ele alınmış olup,</w:t>
            </w:r>
            <w:r w:rsidRPr="002D0E21">
              <w:rPr>
                <w:rFonts w:ascii="Times New Roman" w:eastAsia="Times New Roman" w:hAnsi="Times New Roman"/>
                <w:spacing w:val="-2"/>
                <w:lang w:eastAsia="tr-TR"/>
              </w:rPr>
              <w:t xml:space="preserve"> piyasa katılımcılarının lehine olan </w:t>
            </w:r>
            <w:r>
              <w:rPr>
                <w:rFonts w:ascii="Times New Roman" w:eastAsia="Times New Roman" w:hAnsi="Times New Roman"/>
                <w:spacing w:val="-2"/>
                <w:lang w:eastAsia="tr-TR"/>
              </w:rPr>
              <w:t>söz konusu değişikliğin</w:t>
            </w:r>
            <w:r w:rsidRPr="002D0E21">
              <w:rPr>
                <w:rFonts w:ascii="Times New Roman" w:eastAsia="Times New Roman" w:hAnsi="Times New Roman"/>
                <w:spacing w:val="-2"/>
                <w:lang w:eastAsia="tr-TR"/>
              </w:rPr>
              <w:t xml:space="preserve"> yapılması</w:t>
            </w:r>
            <w:r>
              <w:rPr>
                <w:rFonts w:ascii="Times New Roman" w:eastAsia="Times New Roman" w:hAnsi="Times New Roman"/>
                <w:spacing w:val="-2"/>
                <w:lang w:eastAsia="tr-TR"/>
              </w:rPr>
              <w:t>nın</w:t>
            </w:r>
            <w:r w:rsidRPr="002D0E21">
              <w:rPr>
                <w:rFonts w:ascii="Times New Roman" w:eastAsia="Times New Roman" w:hAnsi="Times New Roman"/>
                <w:spacing w:val="-2"/>
                <w:lang w:eastAsia="tr-TR"/>
              </w:rPr>
              <w:t xml:space="preserve"> uygun </w:t>
            </w:r>
            <w:r>
              <w:rPr>
                <w:rFonts w:ascii="Times New Roman" w:eastAsia="Times New Roman" w:hAnsi="Times New Roman"/>
                <w:spacing w:val="-2"/>
                <w:lang w:eastAsia="tr-TR"/>
              </w:rPr>
              <w:t>olacağı düşünülmüştür.</w:t>
            </w:r>
          </w:p>
        </w:tc>
        <w:tc>
          <w:tcPr>
            <w:tcW w:w="5055" w:type="dxa"/>
          </w:tcPr>
          <w:p w14:paraId="142A4DEC" w14:textId="77777777" w:rsidR="005F6C91" w:rsidRPr="004F0E71" w:rsidRDefault="005F6C91" w:rsidP="005F6C91">
            <w:pPr>
              <w:spacing w:after="0" w:line="240" w:lineRule="auto"/>
              <w:jc w:val="both"/>
              <w:rPr>
                <w:rFonts w:ascii="Times New Roman" w:hAnsi="Times New Roman"/>
                <w:b/>
              </w:rPr>
            </w:pPr>
            <w:r w:rsidRPr="004F0E71">
              <w:rPr>
                <w:rFonts w:ascii="Times New Roman" w:hAnsi="Times New Roman"/>
                <w:b/>
              </w:rPr>
              <w:t>9.2. Günlük İşlem ve Fatura İşlem Teminatları</w:t>
            </w:r>
          </w:p>
          <w:p w14:paraId="35FC1753" w14:textId="77777777" w:rsidR="005F6C91" w:rsidRPr="004F0E71" w:rsidRDefault="005F6C91" w:rsidP="005F6C91">
            <w:pPr>
              <w:spacing w:after="0" w:line="240" w:lineRule="auto"/>
              <w:jc w:val="both"/>
              <w:rPr>
                <w:rFonts w:ascii="Times New Roman" w:hAnsi="Times New Roman"/>
                <w:b/>
              </w:rPr>
            </w:pPr>
            <w:r w:rsidRPr="004F0E71">
              <w:rPr>
                <w:rFonts w:ascii="Times New Roman" w:hAnsi="Times New Roman"/>
                <w:b/>
              </w:rPr>
              <w:t>…</w:t>
            </w:r>
          </w:p>
          <w:p w14:paraId="231794A9"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b/>
              </w:rPr>
              <w:t>9.2.3.</w:t>
            </w:r>
            <w:r w:rsidRPr="004F0E71">
              <w:rPr>
                <w:rFonts w:ascii="Times New Roman" w:hAnsi="Times New Roman"/>
              </w:rPr>
              <w:t xml:space="preserve"> Bir gaz günü için satış yönlü tekliflerin eşleşmesi durumunda günlük işlem teminatı tutarındaki ve işlem limitindeki değişimler şu şekilde gerçekleşir:</w:t>
            </w:r>
          </w:p>
          <w:p w14:paraId="5AAED223"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a) Piyasa katılımcısına ait her bir satış yönlü teklifin eşleşmesi ile beraber katılımcının önceden bloke edilmiş teminatının bulunması halinde, teminat üzerindeki bloke, satış tutarı kadar azaltılır.</w:t>
            </w:r>
          </w:p>
          <w:p w14:paraId="7FC07223"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 xml:space="preserve">b) Piyasa katılımcılarının gerçekleştirdikleri satışlar dolayısıyla oluşan tutarlar </w:t>
            </w:r>
            <w:r w:rsidRPr="004F0E71">
              <w:rPr>
                <w:rFonts w:ascii="Times New Roman" w:hAnsi="Times New Roman"/>
                <w:color w:val="0070C0"/>
                <w:u w:val="single"/>
              </w:rPr>
              <w:t>ilgili gaz gününün mevcut</w:t>
            </w:r>
            <w:r w:rsidRPr="004F0E71">
              <w:rPr>
                <w:rFonts w:ascii="Times New Roman" w:hAnsi="Times New Roman"/>
                <w:color w:val="0070C0"/>
              </w:rPr>
              <w:t xml:space="preserve"> </w:t>
            </w:r>
            <w:r w:rsidRPr="004F0E71">
              <w:rPr>
                <w:rFonts w:ascii="Times New Roman" w:hAnsi="Times New Roman"/>
              </w:rPr>
              <w:t xml:space="preserve">işlem limitine eklenir ve oluşan toplam tutar </w:t>
            </w:r>
            <w:r w:rsidRPr="004F0E71">
              <w:rPr>
                <w:rFonts w:ascii="Times New Roman" w:hAnsi="Times New Roman"/>
                <w:color w:val="0070C0"/>
                <w:u w:val="single"/>
              </w:rPr>
              <w:t>ilgili gaz gününün</w:t>
            </w:r>
            <w:r w:rsidRPr="004F0E71">
              <w:rPr>
                <w:rFonts w:ascii="Times New Roman" w:hAnsi="Times New Roman"/>
                <w:color w:val="00B0F0"/>
              </w:rPr>
              <w:t xml:space="preserve"> </w:t>
            </w:r>
            <w:r w:rsidRPr="004F0E71">
              <w:rPr>
                <w:rFonts w:ascii="Times New Roman" w:hAnsi="Times New Roman"/>
              </w:rPr>
              <w:t>alış yönlü işlem limitini oluşturur.</w:t>
            </w:r>
          </w:p>
          <w:p w14:paraId="14E7985C"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 xml:space="preserve">c) Bloke edilmiş teminat miktarının satış miktarından az olması durumunda teminatındaki bloke kaldırılır ve ilgili </w:t>
            </w:r>
            <w:r w:rsidRPr="004F0E71">
              <w:rPr>
                <w:rFonts w:ascii="Times New Roman" w:hAnsi="Times New Roman"/>
                <w:strike/>
                <w:color w:val="C00000"/>
              </w:rPr>
              <w:t>piyasa katılımcısının</w:t>
            </w:r>
            <w:r w:rsidRPr="004F0E71">
              <w:rPr>
                <w:rFonts w:ascii="Times New Roman" w:hAnsi="Times New Roman"/>
                <w:color w:val="FF0000"/>
              </w:rPr>
              <w:t xml:space="preserve"> </w:t>
            </w:r>
            <w:r w:rsidRPr="004F0E71">
              <w:rPr>
                <w:rFonts w:ascii="Times New Roman" w:hAnsi="Times New Roman"/>
                <w:color w:val="0070C0"/>
                <w:u w:val="single"/>
              </w:rPr>
              <w:t>gaz gününün</w:t>
            </w:r>
            <w:r w:rsidRPr="004F0E71">
              <w:rPr>
                <w:rFonts w:ascii="Times New Roman" w:hAnsi="Times New Roman"/>
                <w:color w:val="0070C0"/>
              </w:rPr>
              <w:t xml:space="preserve"> </w:t>
            </w:r>
            <w:r w:rsidRPr="004F0E71">
              <w:rPr>
                <w:rFonts w:ascii="Times New Roman" w:hAnsi="Times New Roman"/>
              </w:rPr>
              <w:t>işlem limiti satış miktarı ile bloke edilmiş teminat tutarının arasındaki fark kadar arttırılır.</w:t>
            </w:r>
          </w:p>
          <w:p w14:paraId="13CCCDC7" w14:textId="77777777" w:rsidR="005F6C91" w:rsidRPr="004F0E71" w:rsidRDefault="005F6C91" w:rsidP="005F6C91">
            <w:pPr>
              <w:spacing w:after="0" w:line="240" w:lineRule="auto"/>
              <w:jc w:val="both"/>
              <w:rPr>
                <w:rFonts w:ascii="Times New Roman" w:hAnsi="Times New Roman"/>
              </w:rPr>
            </w:pPr>
          </w:p>
          <w:p w14:paraId="32FF024B"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t xml:space="preserve">ç) Bloke edilmiş teminat bulunmaması halinde ilgili </w:t>
            </w:r>
            <w:r w:rsidRPr="004F0E71">
              <w:rPr>
                <w:rFonts w:ascii="Times New Roman" w:hAnsi="Times New Roman"/>
                <w:strike/>
                <w:color w:val="C00000"/>
              </w:rPr>
              <w:t>piyasa katılımcısının</w:t>
            </w:r>
            <w:r w:rsidRPr="004F0E71">
              <w:rPr>
                <w:rFonts w:ascii="Times New Roman" w:hAnsi="Times New Roman"/>
                <w:color w:val="FF0000"/>
              </w:rPr>
              <w:t xml:space="preserve"> </w:t>
            </w:r>
            <w:r w:rsidRPr="004F0E71">
              <w:rPr>
                <w:rFonts w:ascii="Times New Roman" w:hAnsi="Times New Roman"/>
                <w:color w:val="0070C0"/>
                <w:u w:val="single"/>
              </w:rPr>
              <w:t>gaz gününün</w:t>
            </w:r>
            <w:r w:rsidRPr="004F0E71">
              <w:rPr>
                <w:rFonts w:ascii="Times New Roman" w:hAnsi="Times New Roman"/>
                <w:color w:val="0070C0"/>
              </w:rPr>
              <w:t xml:space="preserve"> </w:t>
            </w:r>
            <w:r w:rsidRPr="004F0E71">
              <w:rPr>
                <w:rFonts w:ascii="Times New Roman" w:hAnsi="Times New Roman"/>
              </w:rPr>
              <w:t>işlem limiti satış tutarı kadar arttırılır.</w:t>
            </w:r>
          </w:p>
          <w:p w14:paraId="7C07B728" w14:textId="77777777" w:rsidR="005F6C91" w:rsidRPr="004F0E71" w:rsidRDefault="005F6C91" w:rsidP="005F6C91">
            <w:pPr>
              <w:spacing w:after="0" w:line="240" w:lineRule="auto"/>
              <w:jc w:val="both"/>
              <w:rPr>
                <w:rFonts w:ascii="Times New Roman" w:hAnsi="Times New Roman"/>
              </w:rPr>
            </w:pPr>
            <w:r w:rsidRPr="004F0E71">
              <w:rPr>
                <w:rFonts w:ascii="Times New Roman" w:hAnsi="Times New Roman"/>
              </w:rPr>
              <w:lastRenderedPageBreak/>
              <w:t>d) Piyasa katılımcısının mevcut alacakları işlem limiti hesabında dikkate alınır.</w:t>
            </w:r>
          </w:p>
          <w:p w14:paraId="24FB8ABE" w14:textId="0E6B10B5" w:rsidR="005F6C91" w:rsidRPr="004F0E71" w:rsidRDefault="005F6C91" w:rsidP="005F6C91">
            <w:pPr>
              <w:spacing w:after="0" w:line="240" w:lineRule="auto"/>
              <w:jc w:val="both"/>
              <w:rPr>
                <w:rFonts w:ascii="Times New Roman" w:hAnsi="Times New Roman"/>
                <w:b/>
              </w:rPr>
            </w:pPr>
            <w:r w:rsidRPr="004F0E71">
              <w:rPr>
                <w:rFonts w:ascii="Times New Roman" w:eastAsia="Times New Roman" w:hAnsi="Times New Roman"/>
                <w:spacing w:val="-2"/>
                <w:lang w:eastAsia="tr-TR"/>
              </w:rPr>
              <w:t xml:space="preserve">e) </w:t>
            </w:r>
            <w:r w:rsidRPr="004F0E71">
              <w:rPr>
                <w:rFonts w:ascii="Times New Roman" w:hAnsi="Times New Roman"/>
                <w:strike/>
                <w:color w:val="C00000"/>
              </w:rPr>
              <w:t>İlgili piyasa katılımcısının işlem limiti piyasa işletmecisinin piyasa katılımcısına avans ödemesine müteakip yapılan avans ödemesi tutarı kadar düşürülür.</w:t>
            </w:r>
            <w:r w:rsidRPr="004F0E71">
              <w:rPr>
                <w:rFonts w:ascii="Times New Roman" w:hAnsi="Times New Roman"/>
                <w:color w:val="C00000"/>
              </w:rPr>
              <w:t xml:space="preserve"> </w:t>
            </w:r>
            <w:r w:rsidR="002D0E21" w:rsidRPr="002D0E21">
              <w:rPr>
                <w:rFonts w:ascii="Times New Roman" w:eastAsia="Times New Roman" w:hAnsi="Times New Roman"/>
                <w:color w:val="0070C0"/>
                <w:spacing w:val="-2"/>
                <w:u w:val="single"/>
                <w:lang w:eastAsia="tr-TR"/>
              </w:rPr>
              <w:t>Avans ödemesi aynı gün olan gaz günleri için, işlem limiti en yüksek olan miktar esas alınarak tek bir işlem limiti kullanılır.</w:t>
            </w:r>
          </w:p>
        </w:tc>
      </w:tr>
      <w:tr w:rsidR="00DA18E7" w:rsidRPr="004F0E71" w14:paraId="69C932CE" w14:textId="77777777" w:rsidTr="00203369">
        <w:trPr>
          <w:trHeight w:val="216"/>
        </w:trPr>
        <w:tc>
          <w:tcPr>
            <w:tcW w:w="5054" w:type="dxa"/>
          </w:tcPr>
          <w:p w14:paraId="4A6EB87A" w14:textId="77777777" w:rsidR="00DA18E7" w:rsidRPr="004F0E71" w:rsidRDefault="00DA18E7"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lastRenderedPageBreak/>
              <w:t>9.4.9</w:t>
            </w:r>
            <w:r w:rsidRPr="004F0E71">
              <w:rPr>
                <w:rFonts w:ascii="Times New Roman" w:eastAsia="Times New Roman" w:hAnsi="Times New Roman"/>
                <w:spacing w:val="-2"/>
                <w:lang w:eastAsia="tr-TR"/>
              </w:rPr>
              <w:t>.</w:t>
            </w:r>
            <w:r w:rsidRPr="004F0E71">
              <w:rPr>
                <w:rFonts w:ascii="Times New Roman" w:eastAsia="Times New Roman" w:hAnsi="Times New Roman"/>
                <w:spacing w:val="-2"/>
                <w:lang w:eastAsia="tr-TR"/>
              </w:rPr>
              <w:tab/>
              <w:t>Merkezi uzlaştırma kuruluşu piyasa katılımcıları/sistem kullanıcılarının merkezi uzlaştırma kuruluşundaki toplam değerlenmiş fatura işlem ve dengesizlik teminatı tutarlarını içeren dosyayı saat 15:00’da piyasa işletmecisine gönderir. Piyasa işletmecisi, gönderilen dosyanın içerisindeki piyasa katılımcıları/sistem kullanıcılarının merkezi uzlaştırma kuruluşundaki toplam değerlenmiş fatura işlem ve dengesizlik teminatı tutarlarını her iş günü saat 15:00’da kontrol eder.</w:t>
            </w:r>
          </w:p>
        </w:tc>
        <w:tc>
          <w:tcPr>
            <w:tcW w:w="5054" w:type="dxa"/>
          </w:tcPr>
          <w:p w14:paraId="14A7EA94" w14:textId="77777777" w:rsidR="00DA18E7" w:rsidRPr="004F0E71" w:rsidRDefault="00575A32" w:rsidP="00E23956">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Zaman zaman STP katılımcılarımızdan birinin veya birkaçının gün İlk Tahsisat Verileri güncellenebilmektedir. Veriler güncellendiğinde “Bulundurulması Gereken Teminat Miktarı” da değişmektedir. Ancak sistemde katılımcının 1 gün önce hesaplanmış teminat tutarı göründüğünden katılımcılar açısından mağduriyet oluşabilmektedir.</w:t>
            </w:r>
            <w:r w:rsidR="00E23956" w:rsidRPr="004F0E71">
              <w:rPr>
                <w:rFonts w:ascii="Times New Roman" w:eastAsia="Times New Roman" w:hAnsi="Times New Roman"/>
                <w:spacing w:val="-2"/>
                <w:lang w:eastAsia="tr-TR"/>
              </w:rPr>
              <w:t xml:space="preserve"> Söz konusu mağduriyetin giderilmesi amacıyla maddeye ilgili hüküm eklenmektedir.</w:t>
            </w:r>
          </w:p>
        </w:tc>
        <w:tc>
          <w:tcPr>
            <w:tcW w:w="5055" w:type="dxa"/>
          </w:tcPr>
          <w:p w14:paraId="08DEE378" w14:textId="6B053865" w:rsidR="004F0E71" w:rsidRPr="004F0E71" w:rsidRDefault="00DA18E7" w:rsidP="004F0E7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t>9.4.9.</w:t>
            </w:r>
            <w:r w:rsidRPr="004F0E71">
              <w:rPr>
                <w:rFonts w:ascii="Times New Roman" w:eastAsia="Times New Roman" w:hAnsi="Times New Roman"/>
                <w:spacing w:val="-2"/>
                <w:lang w:eastAsia="tr-TR"/>
              </w:rPr>
              <w:tab/>
              <w:t>Merkezi uzlaştırma kuruluşu piyasa katılımcıları/sistem kullanıcılarının merkezi uzlaştırma kuruluşundaki toplam değerlenmiş fatura işlem ve dengesizlik teminatı tutarlarını içeren dosyayı saat 15:00’da piyasa işletmecisine gönderir. Piyasa işletmecisi, gönderilen dosyanın içerisindeki piyasa katılımcıları/sistem kullanıcılarının merkezi uzlaştırma kuruluşundaki toplam değerlenmiş fatura işlem ve dengesizlik teminatı tutarlarını her iş günü saat 15:00’da kontrol eder</w:t>
            </w:r>
            <w:r w:rsidRPr="004F0E71">
              <w:rPr>
                <w:rFonts w:ascii="Times New Roman" w:eastAsia="Times New Roman" w:hAnsi="Times New Roman"/>
                <w:color w:val="FF0000"/>
                <w:spacing w:val="-2"/>
                <w:lang w:eastAsia="tr-TR"/>
              </w:rPr>
              <w:t xml:space="preserve">. </w:t>
            </w:r>
            <w:r w:rsidRPr="004F0E71">
              <w:rPr>
                <w:rFonts w:ascii="Times New Roman" w:eastAsia="Times New Roman" w:hAnsi="Times New Roman"/>
                <w:color w:val="0070C0"/>
                <w:spacing w:val="-2"/>
                <w:u w:val="single"/>
                <w:lang w:eastAsia="tr-TR"/>
              </w:rPr>
              <w:t>Piyasa Katılımcılarından en az birinin</w:t>
            </w:r>
            <w:r w:rsidR="00575A32" w:rsidRPr="004F0E71">
              <w:rPr>
                <w:rFonts w:ascii="Times New Roman" w:eastAsia="Times New Roman" w:hAnsi="Times New Roman"/>
                <w:color w:val="0070C0"/>
                <w:spacing w:val="-2"/>
                <w:u w:val="single"/>
                <w:lang w:eastAsia="tr-TR"/>
              </w:rPr>
              <w:t>,</w:t>
            </w:r>
            <w:r w:rsidRPr="004F0E71">
              <w:rPr>
                <w:rFonts w:ascii="Times New Roman" w:eastAsia="Times New Roman" w:hAnsi="Times New Roman"/>
                <w:color w:val="0070C0"/>
                <w:spacing w:val="-2"/>
                <w:u w:val="single"/>
                <w:lang w:eastAsia="tr-TR"/>
              </w:rPr>
              <w:t xml:space="preserve"> Sistem İşletmecisi tarafından gönderilen </w:t>
            </w:r>
            <w:r w:rsidR="00575A32" w:rsidRPr="004F0E71">
              <w:rPr>
                <w:rFonts w:ascii="Times New Roman" w:eastAsia="Times New Roman" w:hAnsi="Times New Roman"/>
                <w:color w:val="0070C0"/>
                <w:spacing w:val="-2"/>
                <w:u w:val="single"/>
                <w:lang w:eastAsia="tr-TR"/>
              </w:rPr>
              <w:t xml:space="preserve">İlk Tahsisat Verilerinde değişim olması durumunda, Piyasa İşletmecisi saat 14:00’de Gerekli Teminat Bildirimi işlemini tekrar çalıştırabilir. </w:t>
            </w:r>
          </w:p>
        </w:tc>
      </w:tr>
      <w:tr w:rsidR="00D842A0" w:rsidRPr="004F0E71" w14:paraId="0EBACD96" w14:textId="77777777" w:rsidTr="00203369">
        <w:trPr>
          <w:trHeight w:val="216"/>
        </w:trPr>
        <w:tc>
          <w:tcPr>
            <w:tcW w:w="5054" w:type="dxa"/>
          </w:tcPr>
          <w:p w14:paraId="66AEFC39"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t>9.6.1.</w:t>
            </w:r>
            <w:r w:rsidRPr="004F0E71">
              <w:rPr>
                <w:rFonts w:ascii="Times New Roman" w:eastAsia="Times New Roman" w:hAnsi="Times New Roman"/>
                <w:spacing w:val="-2"/>
                <w:lang w:eastAsia="tr-TR"/>
              </w:rPr>
              <w:tab/>
              <w:t>Teminat olarak kabul edilebilecek kıymetler aşağıda belirtilmiştir:</w:t>
            </w:r>
          </w:p>
          <w:p w14:paraId="620F0C6B"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a)</w:t>
            </w:r>
            <w:r w:rsidRPr="004F0E71">
              <w:rPr>
                <w:rFonts w:ascii="Times New Roman" w:eastAsia="Times New Roman" w:hAnsi="Times New Roman"/>
                <w:spacing w:val="-2"/>
                <w:lang w:eastAsia="tr-TR"/>
              </w:rPr>
              <w:tab/>
              <w:t>Türk Lirası,</w:t>
            </w:r>
          </w:p>
          <w:p w14:paraId="765C4C6B"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b)</w:t>
            </w:r>
            <w:r w:rsidRPr="004F0E71">
              <w:rPr>
                <w:rFonts w:ascii="Times New Roman" w:eastAsia="Times New Roman" w:hAnsi="Times New Roman"/>
                <w:spacing w:val="-2"/>
                <w:lang w:eastAsia="tr-TR"/>
              </w:rPr>
              <w:tab/>
              <w:t>Döviz (ABD Doları veya AVRO),</w:t>
            </w:r>
          </w:p>
          <w:p w14:paraId="4DECA61F"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c)</w:t>
            </w:r>
            <w:r w:rsidRPr="004F0E71">
              <w:rPr>
                <w:rFonts w:ascii="Times New Roman" w:eastAsia="Times New Roman" w:hAnsi="Times New Roman"/>
                <w:spacing w:val="-2"/>
                <w:lang w:eastAsia="tr-TR"/>
              </w:rPr>
              <w:tab/>
              <w:t>Bankacılık mevzuatına tabi ve Türkiye’de faaliyet gösteren bankalar tarafından hazırlanmış olan TL veya döviz cinsinden (ABD Doları veya AVRO) kesin ve süresiz teminat mektupları,</w:t>
            </w:r>
          </w:p>
          <w:p w14:paraId="0AADD9D8"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ç)</w:t>
            </w:r>
            <w:r w:rsidRPr="004F0E71">
              <w:rPr>
                <w:rFonts w:ascii="Times New Roman" w:eastAsia="Times New Roman" w:hAnsi="Times New Roman"/>
                <w:spacing w:val="-2"/>
                <w:lang w:eastAsia="tr-TR"/>
              </w:rPr>
              <w:tab/>
              <w:t xml:space="preserve">Bankacılık mevzuatına göre Türkiye’de faaliyette bulunmasına izin verilen yabancı bankalar ile Türkiye dışında faaliyette bulunan banka veya benzeri kredi kuruluşlarının kontr garantisi üzerine bankacılık mevzuatına tabi bankaların düzenleyecekleri TL veya </w:t>
            </w:r>
            <w:r w:rsidRPr="004F0E71">
              <w:rPr>
                <w:rFonts w:ascii="Times New Roman" w:eastAsia="Times New Roman" w:hAnsi="Times New Roman"/>
                <w:spacing w:val="-2"/>
                <w:lang w:eastAsia="tr-TR"/>
              </w:rPr>
              <w:lastRenderedPageBreak/>
              <w:t>döviz cinsinden (ABD Doları veya AVRO) kesin ve süresiz teminat mektupları,</w:t>
            </w:r>
          </w:p>
          <w:p w14:paraId="4A8ADA22" w14:textId="77777777" w:rsidR="00D842A0"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spacing w:val="-2"/>
                <w:lang w:eastAsia="tr-TR"/>
              </w:rPr>
              <w:t>d)</w:t>
            </w:r>
            <w:r w:rsidRPr="004F0E71">
              <w:rPr>
                <w:rFonts w:ascii="Times New Roman" w:eastAsia="Times New Roman" w:hAnsi="Times New Roman"/>
                <w:spacing w:val="-2"/>
                <w:lang w:eastAsia="tr-TR"/>
              </w:rPr>
              <w:tab/>
              <w:t>Hamiline olmak kaydıyla Hazine Müsteşarlığınca ihraç edilen devlet iç borçlanma senetleri.</w:t>
            </w:r>
          </w:p>
        </w:tc>
        <w:tc>
          <w:tcPr>
            <w:tcW w:w="5054" w:type="dxa"/>
          </w:tcPr>
          <w:p w14:paraId="4BDF19B3" w14:textId="77777777" w:rsidR="00E23956" w:rsidRPr="004F0E71" w:rsidRDefault="00E23956" w:rsidP="00E23956">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lastRenderedPageBreak/>
              <w:t>Teminat olarak kabul edilebilecek kıymetlere “</w:t>
            </w:r>
            <w:r w:rsidRPr="004F0E71">
              <w:rPr>
                <w:rFonts w:ascii="Times New Roman" w:eastAsia="Times New Roman" w:hAnsi="Times New Roman"/>
                <w:i/>
                <w:spacing w:val="-2"/>
                <w:lang w:eastAsia="tr-TR"/>
              </w:rPr>
              <w:t>T.C. Hazine ve Maliye Bakanlığınca ihraç edilen Eurobond’lar.”</w:t>
            </w:r>
            <w:r w:rsidRPr="004F0E71">
              <w:rPr>
                <w:rFonts w:ascii="Times New Roman" w:eastAsia="Times New Roman" w:hAnsi="Times New Roman"/>
                <w:spacing w:val="-2"/>
                <w:lang w:eastAsia="tr-TR"/>
              </w:rPr>
              <w:t>ın da dahil edilmesi amaçlanmaktadır.</w:t>
            </w:r>
          </w:p>
        </w:tc>
        <w:tc>
          <w:tcPr>
            <w:tcW w:w="5055" w:type="dxa"/>
          </w:tcPr>
          <w:p w14:paraId="48E9CF94"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b/>
                <w:spacing w:val="-2"/>
                <w:lang w:eastAsia="tr-TR"/>
              </w:rPr>
              <w:t>9.6.1.</w:t>
            </w:r>
            <w:r w:rsidRPr="004F0E71">
              <w:rPr>
                <w:rFonts w:ascii="Times New Roman" w:eastAsia="Times New Roman" w:hAnsi="Times New Roman"/>
                <w:spacing w:val="-2"/>
                <w:lang w:eastAsia="tr-TR"/>
              </w:rPr>
              <w:tab/>
              <w:t>Teminat olarak kabul edilebilecek kıymetler aşağıda belirtilmiştir:</w:t>
            </w:r>
          </w:p>
          <w:p w14:paraId="4CCD3BA7"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a)</w:t>
            </w:r>
            <w:r w:rsidRPr="004F0E71">
              <w:rPr>
                <w:rFonts w:ascii="Times New Roman" w:eastAsia="Times New Roman" w:hAnsi="Times New Roman"/>
                <w:spacing w:val="-2"/>
                <w:lang w:eastAsia="tr-TR"/>
              </w:rPr>
              <w:tab/>
              <w:t>Türk Lirası,</w:t>
            </w:r>
          </w:p>
          <w:p w14:paraId="78765C2B"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b)</w:t>
            </w:r>
            <w:r w:rsidRPr="004F0E71">
              <w:rPr>
                <w:rFonts w:ascii="Times New Roman" w:eastAsia="Times New Roman" w:hAnsi="Times New Roman"/>
                <w:spacing w:val="-2"/>
                <w:lang w:eastAsia="tr-TR"/>
              </w:rPr>
              <w:tab/>
              <w:t>Döviz (ABD Doları veya AVRO),</w:t>
            </w:r>
          </w:p>
          <w:p w14:paraId="6FBACA0A"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c)</w:t>
            </w:r>
            <w:r w:rsidRPr="004F0E71">
              <w:rPr>
                <w:rFonts w:ascii="Times New Roman" w:eastAsia="Times New Roman" w:hAnsi="Times New Roman"/>
                <w:spacing w:val="-2"/>
                <w:lang w:eastAsia="tr-TR"/>
              </w:rPr>
              <w:tab/>
              <w:t>Bankacılık mevzuatına tabi ve Türkiye’de faaliyet gösteren bankalar tarafından hazırlanmış olan TL veya döviz cinsinden (ABD Doları veya AVRO) kesin ve süresiz teminat mektupları,</w:t>
            </w:r>
          </w:p>
          <w:p w14:paraId="6BE5DB8A" w14:textId="77777777" w:rsidR="006649CB"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ç)</w:t>
            </w:r>
            <w:r w:rsidRPr="004F0E71">
              <w:rPr>
                <w:rFonts w:ascii="Times New Roman" w:eastAsia="Times New Roman" w:hAnsi="Times New Roman"/>
                <w:spacing w:val="-2"/>
                <w:lang w:eastAsia="tr-TR"/>
              </w:rPr>
              <w:tab/>
              <w:t xml:space="preserve">Bankacılık mevzuatına göre Türkiye’de faaliyette bulunmasına izin verilen yabancı bankalar ile Türkiye dışında faaliyette bulunan banka veya benzeri kredi kuruluşlarının kontr garantisi üzerine bankacılık mevzuatına tabi bankaların düzenleyecekleri TL veya </w:t>
            </w:r>
            <w:r w:rsidRPr="004F0E71">
              <w:rPr>
                <w:rFonts w:ascii="Times New Roman" w:eastAsia="Times New Roman" w:hAnsi="Times New Roman"/>
                <w:spacing w:val="-2"/>
                <w:lang w:eastAsia="tr-TR"/>
              </w:rPr>
              <w:lastRenderedPageBreak/>
              <w:t>döviz cinsinden (ABD Doları veya AVRO) kesin ve süresiz teminat mektupları,</w:t>
            </w:r>
          </w:p>
          <w:p w14:paraId="6C242B5A" w14:textId="77777777" w:rsidR="00D842A0" w:rsidRPr="004F0E71" w:rsidRDefault="006649CB" w:rsidP="00203369">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eastAsia="Times New Roman" w:hAnsi="Times New Roman"/>
                <w:spacing w:val="-2"/>
                <w:lang w:eastAsia="tr-TR"/>
              </w:rPr>
              <w:t>d)</w:t>
            </w:r>
            <w:r w:rsidRPr="004F0E71">
              <w:rPr>
                <w:rFonts w:ascii="Times New Roman" w:eastAsia="Times New Roman" w:hAnsi="Times New Roman"/>
                <w:spacing w:val="-2"/>
                <w:lang w:eastAsia="tr-TR"/>
              </w:rPr>
              <w:tab/>
              <w:t>Hamiline olmak kaydıyla Hazine Müsteşarlığınca ihraç edilen devlet iç borçlanma senetleri.</w:t>
            </w:r>
          </w:p>
          <w:p w14:paraId="429FFD07" w14:textId="42517D71" w:rsidR="004F0E71" w:rsidRPr="004F0E71" w:rsidRDefault="00F80437" w:rsidP="004F0E7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u w:val="single"/>
                <w:lang w:eastAsia="tr-TR"/>
              </w:rPr>
            </w:pPr>
            <w:r w:rsidRPr="004F0E71">
              <w:rPr>
                <w:rFonts w:ascii="Times New Roman" w:eastAsia="Times New Roman" w:hAnsi="Times New Roman"/>
                <w:color w:val="0070C0"/>
                <w:spacing w:val="-2"/>
                <w:u w:val="single"/>
                <w:lang w:eastAsia="tr-TR"/>
              </w:rPr>
              <w:t>e)</w:t>
            </w:r>
            <w:r w:rsidRPr="004F0E71">
              <w:rPr>
                <w:rFonts w:ascii="Times New Roman" w:hAnsi="Times New Roman"/>
                <w:color w:val="0070C0"/>
                <w:u w:val="single"/>
              </w:rPr>
              <w:t xml:space="preserve">  </w:t>
            </w:r>
            <w:r w:rsidRPr="004F0E71">
              <w:rPr>
                <w:rFonts w:ascii="Times New Roman" w:eastAsia="Times New Roman" w:hAnsi="Times New Roman"/>
                <w:color w:val="0070C0"/>
                <w:spacing w:val="-2"/>
                <w:u w:val="single"/>
                <w:lang w:eastAsia="tr-TR"/>
              </w:rPr>
              <w:t>T.C. Hazine ve Maliye Bakanlığınca ihraç edilen Eurobond’lar.</w:t>
            </w:r>
          </w:p>
        </w:tc>
      </w:tr>
      <w:tr w:rsidR="00071D92" w:rsidRPr="004F0E71" w14:paraId="378C4F42" w14:textId="77777777" w:rsidTr="00203369">
        <w:trPr>
          <w:trHeight w:val="216"/>
        </w:trPr>
        <w:tc>
          <w:tcPr>
            <w:tcW w:w="5054" w:type="dxa"/>
          </w:tcPr>
          <w:p w14:paraId="31E2606D" w14:textId="5EC10BD4" w:rsidR="00071D92" w:rsidRPr="004F0E71" w:rsidRDefault="00071D92" w:rsidP="004F0E71">
            <w:pPr>
              <w:pStyle w:val="Balk1"/>
              <w:keepNext/>
              <w:keepLines/>
              <w:numPr>
                <w:ilvl w:val="0"/>
                <w:numId w:val="0"/>
              </w:numPr>
              <w:autoSpaceDE/>
              <w:autoSpaceDN/>
              <w:adjustRightInd/>
              <w:spacing w:after="0"/>
              <w:ind w:left="29"/>
              <w:rPr>
                <w:b w:val="0"/>
                <w:sz w:val="22"/>
                <w:szCs w:val="22"/>
              </w:rPr>
            </w:pPr>
            <w:r w:rsidRPr="004F0E71">
              <w:rPr>
                <w:rFonts w:eastAsia="Times New Roman"/>
                <w:sz w:val="22"/>
                <w:szCs w:val="22"/>
                <w:lang w:eastAsia="tr-TR"/>
              </w:rPr>
              <w:lastRenderedPageBreak/>
              <w:t>10.4.3.</w:t>
            </w:r>
            <w:r w:rsidRPr="004F0E71">
              <w:rPr>
                <w:rFonts w:eastAsia="Times New Roman"/>
                <w:b w:val="0"/>
                <w:sz w:val="22"/>
                <w:szCs w:val="22"/>
                <w:lang w:eastAsia="tr-TR"/>
              </w:rPr>
              <w:t xml:space="preserve"> Hatalar piyasa işletmecisi tarafından itiraza müteakip 10 (on) iş günü içerisinde sonuçlandırılır ve itiraz sonuçları piyasa katılımcısına yazılı olarak veya STP üzerinden gerekçeleri ile birlikte bildirilir. İtirazın haklı bulunması veya piyasa işletmecisinin bir itiraz olmaksızın yapılan bir hatayı tespit etmesi halinde, gerekli düzeltme işlemi yapılır.</w:t>
            </w:r>
          </w:p>
        </w:tc>
        <w:tc>
          <w:tcPr>
            <w:tcW w:w="5054" w:type="dxa"/>
          </w:tcPr>
          <w:p w14:paraId="549A0BEA" w14:textId="6BAA4F52" w:rsidR="00071D92" w:rsidRPr="004F0E71" w:rsidRDefault="004F0E71" w:rsidP="004C0837">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lang w:eastAsia="tr-TR"/>
              </w:rPr>
            </w:pPr>
            <w:r w:rsidRPr="004F0E71">
              <w:rPr>
                <w:rFonts w:ascii="Times New Roman" w:hAnsi="Times New Roman"/>
              </w:rPr>
              <w:t>İfade düzeltmesi yapılmaktadır.</w:t>
            </w:r>
          </w:p>
        </w:tc>
        <w:tc>
          <w:tcPr>
            <w:tcW w:w="5055" w:type="dxa"/>
          </w:tcPr>
          <w:p w14:paraId="75D2EAF2" w14:textId="4B46308A" w:rsidR="00071D92" w:rsidRPr="004F0E71" w:rsidRDefault="00071D92" w:rsidP="004F0E71">
            <w:pPr>
              <w:pStyle w:val="Balk1"/>
              <w:keepNext/>
              <w:keepLines/>
              <w:numPr>
                <w:ilvl w:val="0"/>
                <w:numId w:val="0"/>
              </w:numPr>
              <w:autoSpaceDE/>
              <w:autoSpaceDN/>
              <w:adjustRightInd/>
              <w:spacing w:after="0"/>
              <w:ind w:left="29"/>
              <w:rPr>
                <w:b w:val="0"/>
                <w:sz w:val="22"/>
                <w:szCs w:val="22"/>
              </w:rPr>
            </w:pPr>
            <w:r w:rsidRPr="004F0E71">
              <w:rPr>
                <w:rFonts w:eastAsia="Times New Roman"/>
                <w:sz w:val="22"/>
                <w:szCs w:val="22"/>
                <w:lang w:eastAsia="tr-TR"/>
              </w:rPr>
              <w:t>10.4.3.</w:t>
            </w:r>
            <w:r w:rsidRPr="004F0E71">
              <w:rPr>
                <w:rFonts w:eastAsia="Times New Roman"/>
                <w:b w:val="0"/>
                <w:sz w:val="22"/>
                <w:szCs w:val="22"/>
                <w:lang w:eastAsia="tr-TR"/>
              </w:rPr>
              <w:t xml:space="preserve"> Hatalar piyasa işletmecisi tarafından itiraza müteakip 10 (on) iş günü içerisinde sonuçlandırılır ve itiraz sonuçları piyasa katılımcısına yazılı olarak veya STP üzerinden gerekçeleri ile birlikte bildirilir. İtirazın </w:t>
            </w:r>
            <w:r w:rsidRPr="004F0E71">
              <w:rPr>
                <w:rFonts w:eastAsia="Times New Roman"/>
                <w:b w:val="0"/>
                <w:strike/>
                <w:color w:val="C00000"/>
                <w:sz w:val="22"/>
                <w:szCs w:val="22"/>
                <w:lang w:eastAsia="tr-TR"/>
              </w:rPr>
              <w:t>haklı bulunması</w:t>
            </w:r>
            <w:r w:rsidRPr="004F0E71">
              <w:rPr>
                <w:rFonts w:eastAsia="Times New Roman"/>
                <w:b w:val="0"/>
                <w:sz w:val="22"/>
                <w:szCs w:val="22"/>
                <w:lang w:eastAsia="tr-TR"/>
              </w:rPr>
              <w:t xml:space="preserve"> </w:t>
            </w:r>
            <w:r w:rsidRPr="004F0E71">
              <w:rPr>
                <w:rFonts w:eastAsia="Times New Roman"/>
                <w:b w:val="0"/>
                <w:color w:val="0070C0"/>
                <w:sz w:val="22"/>
                <w:szCs w:val="22"/>
                <w:u w:val="single"/>
                <w:lang w:eastAsia="tr-TR"/>
              </w:rPr>
              <w:t>kabul edilmesi</w:t>
            </w:r>
            <w:r w:rsidRPr="004F0E71">
              <w:rPr>
                <w:rFonts w:eastAsia="Times New Roman"/>
                <w:b w:val="0"/>
                <w:sz w:val="22"/>
                <w:szCs w:val="22"/>
                <w:lang w:eastAsia="tr-TR"/>
              </w:rPr>
              <w:t xml:space="preserve"> veya piyasa işletmecisinin bir itiraz olmaksızın yapılan bir hatayı tespit etmesi halinde, gerekli düzeltme işlemi yapılır.</w:t>
            </w:r>
          </w:p>
        </w:tc>
      </w:tr>
      <w:tr w:rsidR="00071D92" w:rsidRPr="004F0E71" w14:paraId="45A480D1" w14:textId="77777777" w:rsidTr="00203369">
        <w:trPr>
          <w:trHeight w:val="216"/>
        </w:trPr>
        <w:tc>
          <w:tcPr>
            <w:tcW w:w="5054" w:type="dxa"/>
          </w:tcPr>
          <w:p w14:paraId="1CC96EDF" w14:textId="77777777" w:rsidR="00071D92" w:rsidRPr="004F0E71" w:rsidRDefault="00D425B6" w:rsidP="00D425B6">
            <w:pPr>
              <w:pStyle w:val="Balk1"/>
              <w:keepNext/>
              <w:keepLines/>
              <w:numPr>
                <w:ilvl w:val="0"/>
                <w:numId w:val="0"/>
              </w:numPr>
              <w:autoSpaceDE/>
              <w:autoSpaceDN/>
              <w:adjustRightInd/>
              <w:spacing w:after="0"/>
              <w:rPr>
                <w:rFonts w:eastAsia="Times New Roman"/>
                <w:b w:val="0"/>
                <w:sz w:val="22"/>
                <w:szCs w:val="22"/>
                <w:lang w:eastAsia="tr-TR"/>
              </w:rPr>
            </w:pPr>
            <w:r w:rsidRPr="004F0E71">
              <w:rPr>
                <w:rFonts w:eastAsia="Times New Roman"/>
                <w:sz w:val="22"/>
                <w:szCs w:val="22"/>
                <w:lang w:eastAsia="tr-TR"/>
              </w:rPr>
              <w:t>10.4.5.</w:t>
            </w:r>
            <w:r w:rsidRPr="004F0E71">
              <w:rPr>
                <w:rFonts w:eastAsia="Times New Roman"/>
                <w:b w:val="0"/>
                <w:sz w:val="22"/>
                <w:szCs w:val="22"/>
                <w:lang w:eastAsia="tr-TR"/>
              </w:rPr>
              <w:t xml:space="preserve"> </w:t>
            </w:r>
            <w:r w:rsidR="00071D92" w:rsidRPr="004F0E71">
              <w:rPr>
                <w:rFonts w:eastAsia="Times New Roman"/>
                <w:b w:val="0"/>
                <w:sz w:val="22"/>
                <w:szCs w:val="22"/>
                <w:lang w:eastAsia="tr-TR"/>
              </w:rPr>
              <w:t>Piyasa katılımcıları/sistem kullanıcıları tarafından faturaya esas uzlaştırma bildirimlerine ya da faturalara ilişkin piyasa işletmecisine yapılan itirazların yapılan değerlendirme sonucunda haklı bulunması durumunda gerekli düzeltmeler piyasa işletmecisi tarafından gerçekleştirilir. İtirazın sonuçlandırılmasını takiben piyasa işletmecisi tarafından ilgili piyasa katılımcıları/sistem kullanıcılarına düzeltilmiş değerleri içeren bildirim yapılır. Yapılan düzeltme sonucunda, piyasa katılımcıları/sistem kullanıcılarına yapılması gereken ya da piyasa katılımcıları/sistem kullanıcılarının yapması gereken ödeme, en geç itiraza konu olan faturanın tebliğ tarihini takip eden üçüncü fatura dönemine ilişkin fatura bildiriminde, geçmişe dönük düzeltme kalemi altında yer alır.</w:t>
            </w:r>
          </w:p>
          <w:p w14:paraId="76AF16F5" w14:textId="77777777" w:rsidR="00071D92" w:rsidRPr="004F0E71" w:rsidRDefault="00071D92" w:rsidP="00071D92">
            <w:pPr>
              <w:pStyle w:val="Balk1"/>
              <w:keepNext/>
              <w:keepLines/>
              <w:numPr>
                <w:ilvl w:val="0"/>
                <w:numId w:val="0"/>
              </w:numPr>
              <w:autoSpaceDE/>
              <w:autoSpaceDN/>
              <w:adjustRightInd/>
              <w:spacing w:after="0"/>
              <w:ind w:left="29"/>
              <w:rPr>
                <w:rFonts w:eastAsia="Times New Roman"/>
                <w:b w:val="0"/>
                <w:sz w:val="22"/>
                <w:szCs w:val="22"/>
                <w:lang w:eastAsia="tr-TR"/>
              </w:rPr>
            </w:pPr>
          </w:p>
        </w:tc>
        <w:tc>
          <w:tcPr>
            <w:tcW w:w="5054" w:type="dxa"/>
          </w:tcPr>
          <w:p w14:paraId="3610ACD1" w14:textId="261546CC" w:rsidR="00071D92" w:rsidRPr="004F0E71" w:rsidRDefault="004F0E71" w:rsidP="004C0837">
            <w:pPr>
              <w:widowControl w:val="0"/>
              <w:overflowPunct w:val="0"/>
              <w:autoSpaceDE w:val="0"/>
              <w:autoSpaceDN w:val="0"/>
              <w:adjustRightInd w:val="0"/>
              <w:spacing w:after="0" w:line="240" w:lineRule="auto"/>
              <w:ind w:right="10"/>
              <w:jc w:val="both"/>
              <w:textAlignment w:val="baseline"/>
              <w:rPr>
                <w:rFonts w:ascii="Times New Roman" w:hAnsi="Times New Roman"/>
              </w:rPr>
            </w:pPr>
            <w:r w:rsidRPr="004F0E71">
              <w:rPr>
                <w:rFonts w:ascii="Times New Roman" w:hAnsi="Times New Roman"/>
              </w:rPr>
              <w:t>İfade düzeltmesi yapılmaktadır.</w:t>
            </w:r>
          </w:p>
        </w:tc>
        <w:tc>
          <w:tcPr>
            <w:tcW w:w="5055" w:type="dxa"/>
          </w:tcPr>
          <w:p w14:paraId="1B7A809B" w14:textId="0F82636B" w:rsidR="00071D92" w:rsidRPr="004F0E71" w:rsidRDefault="00D425B6" w:rsidP="00825EE7">
            <w:pPr>
              <w:pStyle w:val="Balk1"/>
              <w:keepNext/>
              <w:keepLines/>
              <w:numPr>
                <w:ilvl w:val="0"/>
                <w:numId w:val="0"/>
              </w:numPr>
              <w:autoSpaceDE/>
              <w:autoSpaceDN/>
              <w:adjustRightInd/>
              <w:spacing w:after="0"/>
              <w:rPr>
                <w:rFonts w:eastAsia="Times New Roman"/>
                <w:b w:val="0"/>
                <w:sz w:val="22"/>
                <w:szCs w:val="22"/>
                <w:lang w:eastAsia="tr-TR"/>
              </w:rPr>
            </w:pPr>
            <w:r w:rsidRPr="004F0E71">
              <w:rPr>
                <w:rFonts w:eastAsia="Times New Roman"/>
                <w:sz w:val="22"/>
                <w:szCs w:val="22"/>
                <w:lang w:eastAsia="tr-TR"/>
              </w:rPr>
              <w:t>10.4.5.</w:t>
            </w:r>
            <w:r w:rsidRPr="004F0E71">
              <w:rPr>
                <w:rFonts w:eastAsia="Times New Roman"/>
                <w:b w:val="0"/>
                <w:sz w:val="22"/>
                <w:szCs w:val="22"/>
                <w:lang w:eastAsia="tr-TR"/>
              </w:rPr>
              <w:t xml:space="preserve"> Piyasa katılımcıları/sistem kullanıcıları tarafından faturaya esas uzlaştırma bildirimlerine ya da faturalara ilişkin piyasa işletmecisine yapılan itirazların yapılan değerlendirme sonucunda </w:t>
            </w:r>
            <w:r w:rsidRPr="004F0E71">
              <w:rPr>
                <w:rFonts w:eastAsia="Times New Roman"/>
                <w:b w:val="0"/>
                <w:strike/>
                <w:color w:val="C00000"/>
                <w:sz w:val="22"/>
                <w:szCs w:val="22"/>
                <w:lang w:eastAsia="tr-TR"/>
              </w:rPr>
              <w:t>haklı bulunması</w:t>
            </w:r>
            <w:r w:rsidRPr="004F0E71">
              <w:rPr>
                <w:rFonts w:eastAsia="Times New Roman"/>
                <w:b w:val="0"/>
                <w:sz w:val="22"/>
                <w:szCs w:val="22"/>
                <w:lang w:eastAsia="tr-TR"/>
              </w:rPr>
              <w:t xml:space="preserve"> </w:t>
            </w:r>
            <w:r w:rsidRPr="004F0E71">
              <w:rPr>
                <w:rFonts w:eastAsia="Times New Roman"/>
                <w:b w:val="0"/>
                <w:color w:val="0070C0"/>
                <w:sz w:val="22"/>
                <w:szCs w:val="22"/>
                <w:u w:val="single"/>
                <w:lang w:eastAsia="tr-TR"/>
              </w:rPr>
              <w:t>kabul edilmesi</w:t>
            </w:r>
            <w:r w:rsidRPr="004F0E71">
              <w:rPr>
                <w:rFonts w:eastAsia="Times New Roman"/>
                <w:b w:val="0"/>
                <w:sz w:val="22"/>
                <w:szCs w:val="22"/>
                <w:lang w:eastAsia="tr-TR"/>
              </w:rPr>
              <w:t xml:space="preserve"> durumunda gerekli düzeltmeler piyasa işletmecisi tarafından gerçekleştirilir. İtirazın sonuçlandırılmasını takiben piyasa işletmecisi tarafından ilgili piyasa katılımcıları/sistem kullanıcılarına düzeltilmiş değerleri içeren bildirim yapılır. Yapılan düzeltme sonucunda, piyasa katılımcıları/sistem kullanıcılarına yapılması gereken ya da piyasa katılımcıları/sistem kullanıcılarının yapması gereken ödeme, en geç itiraza konu olan faturanın tebliğ tarihini takip eden üçüncü fatura dönemine ilişkin fatura bildiriminde, geçmişe dönük düzeltme kalemi altında yer alır.</w:t>
            </w:r>
          </w:p>
        </w:tc>
      </w:tr>
      <w:tr w:rsidR="005F6C91" w:rsidRPr="004F0E71" w14:paraId="442C70EE" w14:textId="77777777" w:rsidTr="00203369">
        <w:trPr>
          <w:trHeight w:val="216"/>
        </w:trPr>
        <w:tc>
          <w:tcPr>
            <w:tcW w:w="5054" w:type="dxa"/>
          </w:tcPr>
          <w:p w14:paraId="48559F94" w14:textId="77777777" w:rsidR="005F6C91" w:rsidRPr="004F0E71" w:rsidRDefault="005F6C91" w:rsidP="005F6C9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11.1. Olağandışı Durumlar</w:t>
            </w:r>
          </w:p>
          <w:p w14:paraId="34F3B58A" w14:textId="17D7CEE1" w:rsidR="005F6C91" w:rsidRPr="004F0E71" w:rsidRDefault="005F6C91" w:rsidP="005F6C91">
            <w:pPr>
              <w:pStyle w:val="Balk1"/>
              <w:keepNext/>
              <w:keepLines/>
              <w:numPr>
                <w:ilvl w:val="0"/>
                <w:numId w:val="0"/>
              </w:numPr>
              <w:autoSpaceDE/>
              <w:autoSpaceDN/>
              <w:adjustRightInd/>
              <w:spacing w:after="0"/>
              <w:rPr>
                <w:rFonts w:eastAsia="Times New Roman"/>
                <w:sz w:val="22"/>
                <w:szCs w:val="22"/>
                <w:lang w:eastAsia="tr-TR"/>
              </w:rPr>
            </w:pPr>
            <w:r w:rsidRPr="004F0E71">
              <w:rPr>
                <w:rFonts w:eastAsia="Times New Roman"/>
                <w:spacing w:val="-2"/>
                <w:sz w:val="22"/>
                <w:szCs w:val="22"/>
                <w:lang w:eastAsia="tr-TR"/>
              </w:rPr>
              <w:t>...</w:t>
            </w:r>
          </w:p>
        </w:tc>
        <w:tc>
          <w:tcPr>
            <w:tcW w:w="5054" w:type="dxa"/>
          </w:tcPr>
          <w:p w14:paraId="04883618" w14:textId="3B99B534" w:rsidR="005F6C91" w:rsidRPr="004F0E71" w:rsidRDefault="004F0E71" w:rsidP="006114C2">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highlight w:val="yellow"/>
                <w:lang w:eastAsia="tr-TR"/>
              </w:rPr>
            </w:pPr>
            <w:r w:rsidRPr="004F0E71">
              <w:rPr>
                <w:rFonts w:ascii="Times New Roman" w:eastAsia="Times New Roman" w:hAnsi="Times New Roman"/>
                <w:spacing w:val="-2"/>
                <w:lang w:eastAsia="tr-TR"/>
              </w:rPr>
              <w:t xml:space="preserve">Arıza ve bakım halleri ile ilgili olarak </w:t>
            </w:r>
            <w:r w:rsidR="005F6C91" w:rsidRPr="004F0E71">
              <w:rPr>
                <w:rFonts w:ascii="Times New Roman" w:eastAsia="Times New Roman" w:hAnsi="Times New Roman"/>
                <w:spacing w:val="-2"/>
                <w:lang w:eastAsia="tr-TR"/>
              </w:rPr>
              <w:t>Elektrik Piyasası Dengeleme ve Uzlaştırma Yönetmeliği'n</w:t>
            </w:r>
            <w:r w:rsidRPr="004F0E71">
              <w:rPr>
                <w:rFonts w:ascii="Times New Roman" w:eastAsia="Times New Roman" w:hAnsi="Times New Roman"/>
                <w:spacing w:val="-2"/>
                <w:lang w:eastAsia="tr-TR"/>
              </w:rPr>
              <w:t>de düzenlenen</w:t>
            </w:r>
            <w:r w:rsidR="005F6C91" w:rsidRPr="004F0E71">
              <w:rPr>
                <w:rFonts w:ascii="Times New Roman" w:eastAsia="Times New Roman" w:hAnsi="Times New Roman"/>
                <w:spacing w:val="-2"/>
                <w:lang w:eastAsia="tr-TR"/>
              </w:rPr>
              <w:t xml:space="preserve"> </w:t>
            </w:r>
            <w:r w:rsidRPr="004F0E71">
              <w:rPr>
                <w:rFonts w:ascii="Times New Roman" w:eastAsia="Times New Roman" w:hAnsi="Times New Roman"/>
                <w:spacing w:val="-2"/>
                <w:lang w:eastAsia="tr-TR"/>
              </w:rPr>
              <w:t>hükmün</w:t>
            </w:r>
            <w:r w:rsidR="005F6C91" w:rsidRPr="004F0E71">
              <w:rPr>
                <w:rFonts w:ascii="Times New Roman" w:eastAsia="Times New Roman" w:hAnsi="Times New Roman"/>
                <w:spacing w:val="-2"/>
                <w:lang w:eastAsia="tr-TR"/>
              </w:rPr>
              <w:t xml:space="preserve"> PUE’de</w:t>
            </w:r>
            <w:r w:rsidRPr="004F0E71">
              <w:rPr>
                <w:rFonts w:ascii="Times New Roman" w:eastAsia="Times New Roman" w:hAnsi="Times New Roman"/>
                <w:spacing w:val="-2"/>
                <w:lang w:eastAsia="tr-TR"/>
              </w:rPr>
              <w:t xml:space="preserve"> de düzenlenmesine ihtiyaç duyulmaktadır. Bu çerçevede, söz konusu hüküm eklenmektedir.</w:t>
            </w:r>
          </w:p>
        </w:tc>
        <w:tc>
          <w:tcPr>
            <w:tcW w:w="5055" w:type="dxa"/>
          </w:tcPr>
          <w:p w14:paraId="7422F264" w14:textId="77777777" w:rsidR="005F6C91" w:rsidRPr="004F0E71" w:rsidRDefault="005F6C91" w:rsidP="005F6C9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11.1. Olağandışı Durumlar</w:t>
            </w:r>
          </w:p>
          <w:p w14:paraId="7BB9D2AC" w14:textId="77777777" w:rsidR="005F6C91" w:rsidRPr="004F0E71" w:rsidRDefault="005F6C91" w:rsidP="005F6C9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b/>
                <w:spacing w:val="-2"/>
                <w:lang w:eastAsia="tr-TR"/>
              </w:rPr>
            </w:pPr>
            <w:r w:rsidRPr="004F0E71">
              <w:rPr>
                <w:rFonts w:ascii="Times New Roman" w:eastAsia="Times New Roman" w:hAnsi="Times New Roman"/>
                <w:b/>
                <w:spacing w:val="-2"/>
                <w:lang w:eastAsia="tr-TR"/>
              </w:rPr>
              <w:t>...</w:t>
            </w:r>
          </w:p>
          <w:p w14:paraId="22D40380" w14:textId="77777777" w:rsidR="005F6C91" w:rsidRPr="004F0E71" w:rsidRDefault="005F6C91" w:rsidP="005F6C9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color w:val="0070C0"/>
                <w:spacing w:val="-2"/>
                <w:u w:val="single"/>
                <w:lang w:eastAsia="tr-TR"/>
              </w:rPr>
            </w:pPr>
            <w:r w:rsidRPr="004F0E71">
              <w:rPr>
                <w:rFonts w:ascii="Times New Roman" w:eastAsia="Times New Roman" w:hAnsi="Times New Roman"/>
                <w:b/>
                <w:color w:val="0070C0"/>
                <w:spacing w:val="-2"/>
                <w:u w:val="single"/>
                <w:lang w:eastAsia="tr-TR"/>
              </w:rPr>
              <w:t>11.1.5.</w:t>
            </w:r>
            <w:r w:rsidRPr="004F0E71">
              <w:rPr>
                <w:rFonts w:ascii="Times New Roman" w:eastAsia="Times New Roman" w:hAnsi="Times New Roman"/>
                <w:color w:val="0070C0"/>
                <w:spacing w:val="-2"/>
                <w:u w:val="single"/>
                <w:lang w:eastAsia="tr-TR"/>
              </w:rPr>
              <w:t xml:space="preserve"> STP arıza ve bakımları sebebiyle ortaya çıkan ilave maliyetlerden ve zararlardan Piyasa İşletmecisi</w:t>
            </w:r>
          </w:p>
          <w:p w14:paraId="788FEAB7" w14:textId="70926781" w:rsidR="005F6C91" w:rsidRPr="004F0E71" w:rsidRDefault="005F6C91" w:rsidP="006114C2">
            <w:pPr>
              <w:widowControl w:val="0"/>
              <w:overflowPunct w:val="0"/>
              <w:autoSpaceDE w:val="0"/>
              <w:autoSpaceDN w:val="0"/>
              <w:adjustRightInd w:val="0"/>
              <w:spacing w:after="0" w:line="240" w:lineRule="auto"/>
              <w:ind w:right="10"/>
              <w:jc w:val="both"/>
              <w:textAlignment w:val="baseline"/>
              <w:rPr>
                <w:rFonts w:eastAsia="Times New Roman"/>
                <w:lang w:eastAsia="tr-TR"/>
              </w:rPr>
            </w:pPr>
            <w:r w:rsidRPr="004F0E71">
              <w:rPr>
                <w:rFonts w:ascii="Times New Roman" w:eastAsia="Times New Roman" w:hAnsi="Times New Roman"/>
                <w:color w:val="0070C0"/>
                <w:spacing w:val="-2"/>
                <w:u w:val="single"/>
                <w:lang w:eastAsia="tr-TR"/>
              </w:rPr>
              <w:t>sorumlu tutulamaz.</w:t>
            </w:r>
          </w:p>
        </w:tc>
      </w:tr>
      <w:tr w:rsidR="0084229F" w:rsidRPr="004F0E71" w14:paraId="487CF4D9" w14:textId="77777777" w:rsidTr="00203369">
        <w:trPr>
          <w:trHeight w:val="216"/>
        </w:trPr>
        <w:tc>
          <w:tcPr>
            <w:tcW w:w="5054" w:type="dxa"/>
          </w:tcPr>
          <w:p w14:paraId="00EE8DC6"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b/>
              </w:rPr>
              <w:lastRenderedPageBreak/>
              <w:t>15.3.</w:t>
            </w:r>
            <w:r w:rsidRPr="004F0E71">
              <w:rPr>
                <w:rFonts w:ascii="Times New Roman" w:hAnsi="Times New Roman"/>
              </w:rPr>
              <w:tab/>
              <w:t>Piyasa işletmecisinin iletişim bilgileri şu şekildedir:</w:t>
            </w:r>
          </w:p>
          <w:p w14:paraId="5AC1A092" w14:textId="77777777" w:rsidR="0084229F" w:rsidRPr="004F0E71" w:rsidRDefault="0084229F" w:rsidP="0084229F">
            <w:pPr>
              <w:spacing w:after="0" w:line="240" w:lineRule="auto"/>
              <w:jc w:val="both"/>
              <w:rPr>
                <w:rFonts w:ascii="Times New Roman" w:hAnsi="Times New Roman"/>
              </w:rPr>
            </w:pPr>
          </w:p>
          <w:p w14:paraId="5139F15B"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Enerji Piyasaları İşletme Anonim Şirketi (EPİAŞ)</w:t>
            </w:r>
          </w:p>
          <w:p w14:paraId="36ED2014"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Adres: Esentepe Mah. Büyükdere Cad. No:199 34394 Beşiktaş/Şişli/İstanbul/Türkiye</w:t>
            </w:r>
          </w:p>
          <w:p w14:paraId="41F467F2"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Telefon: 0 (212) 264 15 70-71</w:t>
            </w:r>
          </w:p>
          <w:p w14:paraId="58449018"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Faks: 0 (212) 269 01 12-13</w:t>
            </w:r>
          </w:p>
          <w:p w14:paraId="241E111B" w14:textId="5958D91C" w:rsidR="0084229F" w:rsidRPr="004F0E71" w:rsidRDefault="0084229F" w:rsidP="0084229F">
            <w:pPr>
              <w:pStyle w:val="Balk1"/>
              <w:keepNext/>
              <w:keepLines/>
              <w:numPr>
                <w:ilvl w:val="0"/>
                <w:numId w:val="0"/>
              </w:numPr>
              <w:autoSpaceDE/>
              <w:autoSpaceDN/>
              <w:adjustRightInd/>
              <w:spacing w:after="0"/>
              <w:rPr>
                <w:rFonts w:eastAsia="Times New Roman"/>
                <w:sz w:val="22"/>
                <w:szCs w:val="22"/>
                <w:lang w:eastAsia="tr-TR"/>
              </w:rPr>
            </w:pPr>
            <w:r w:rsidRPr="004F0E71">
              <w:rPr>
                <w:sz w:val="22"/>
                <w:szCs w:val="22"/>
              </w:rPr>
              <w:t>KEP adresi: enerjipiyasalari@hs01.kep.tr</w:t>
            </w:r>
          </w:p>
        </w:tc>
        <w:tc>
          <w:tcPr>
            <w:tcW w:w="5054" w:type="dxa"/>
          </w:tcPr>
          <w:p w14:paraId="3082F0A2" w14:textId="137957BF" w:rsidR="0084229F" w:rsidRPr="004F0E71" w:rsidRDefault="0084229F" w:rsidP="004F0E71">
            <w:pPr>
              <w:widowControl w:val="0"/>
              <w:overflowPunct w:val="0"/>
              <w:autoSpaceDE w:val="0"/>
              <w:autoSpaceDN w:val="0"/>
              <w:adjustRightInd w:val="0"/>
              <w:spacing w:after="0" w:line="240" w:lineRule="auto"/>
              <w:ind w:right="10"/>
              <w:jc w:val="both"/>
              <w:textAlignment w:val="baseline"/>
              <w:rPr>
                <w:rFonts w:ascii="Times New Roman" w:eastAsia="Times New Roman" w:hAnsi="Times New Roman"/>
                <w:spacing w:val="-2"/>
                <w:highlight w:val="yellow"/>
                <w:lang w:eastAsia="tr-TR"/>
              </w:rPr>
            </w:pPr>
            <w:r w:rsidRPr="004F0E71">
              <w:rPr>
                <w:rFonts w:ascii="Times New Roman" w:hAnsi="Times New Roman"/>
              </w:rPr>
              <w:t xml:space="preserve">EPİAŞ </w:t>
            </w:r>
            <w:r w:rsidR="004F0E71" w:rsidRPr="004F0E71">
              <w:rPr>
                <w:rFonts w:ascii="Times New Roman" w:hAnsi="Times New Roman"/>
              </w:rPr>
              <w:t>a</w:t>
            </w:r>
            <w:r w:rsidRPr="004F0E71">
              <w:rPr>
                <w:rFonts w:ascii="Times New Roman" w:hAnsi="Times New Roman"/>
              </w:rPr>
              <w:t>dres değişikliği olm</w:t>
            </w:r>
            <w:r w:rsidR="004F0E71" w:rsidRPr="004F0E71">
              <w:rPr>
                <w:rFonts w:ascii="Times New Roman" w:hAnsi="Times New Roman"/>
              </w:rPr>
              <w:t>ası nedeniyle değişiklik yapılmaktadır.</w:t>
            </w:r>
          </w:p>
        </w:tc>
        <w:tc>
          <w:tcPr>
            <w:tcW w:w="5055" w:type="dxa"/>
          </w:tcPr>
          <w:p w14:paraId="20A4633E"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b/>
              </w:rPr>
              <w:t>15.3.</w:t>
            </w:r>
            <w:r w:rsidRPr="004F0E71">
              <w:rPr>
                <w:rFonts w:ascii="Times New Roman" w:hAnsi="Times New Roman"/>
              </w:rPr>
              <w:tab/>
              <w:t>Piyasa işletmecisinin iletişim bilgileri şu şekildedir:</w:t>
            </w:r>
          </w:p>
          <w:p w14:paraId="5D800D6D" w14:textId="77777777" w:rsidR="0084229F" w:rsidRPr="004F0E71" w:rsidRDefault="0084229F" w:rsidP="0084229F">
            <w:pPr>
              <w:spacing w:after="0" w:line="240" w:lineRule="auto"/>
              <w:jc w:val="both"/>
              <w:rPr>
                <w:rFonts w:ascii="Times New Roman" w:hAnsi="Times New Roman"/>
              </w:rPr>
            </w:pPr>
          </w:p>
          <w:p w14:paraId="148FE884"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Enerji Piyasaları İşletme Anonim Şirketi (EPİAŞ)</w:t>
            </w:r>
          </w:p>
          <w:p w14:paraId="3460BE9F" w14:textId="77777777" w:rsidR="0084229F" w:rsidRPr="004F0E71" w:rsidRDefault="0084229F" w:rsidP="0084229F">
            <w:pPr>
              <w:spacing w:after="0" w:line="240" w:lineRule="auto"/>
              <w:jc w:val="both"/>
              <w:rPr>
                <w:rFonts w:ascii="Times New Roman" w:hAnsi="Times New Roman"/>
                <w:strike/>
                <w:color w:val="C00000"/>
              </w:rPr>
            </w:pPr>
            <w:r w:rsidRPr="004F0E71">
              <w:rPr>
                <w:rFonts w:ascii="Times New Roman" w:hAnsi="Times New Roman"/>
              </w:rPr>
              <w:t xml:space="preserve">Adres: </w:t>
            </w:r>
            <w:r w:rsidRPr="004F0E71">
              <w:rPr>
                <w:rFonts w:ascii="Times New Roman" w:hAnsi="Times New Roman"/>
                <w:strike/>
                <w:color w:val="C00000"/>
              </w:rPr>
              <w:t xml:space="preserve">Esentepe Mah. Büyükdere Cad. No:199 34394 Beşiktaş/Şişli/İstanbul/Türkiye </w:t>
            </w:r>
          </w:p>
          <w:p w14:paraId="6FD7C23A" w14:textId="7E7D9FBE" w:rsidR="0084229F" w:rsidRPr="004F0E71" w:rsidRDefault="0084229F" w:rsidP="0084229F">
            <w:pPr>
              <w:spacing w:after="0" w:line="240" w:lineRule="auto"/>
              <w:jc w:val="both"/>
              <w:rPr>
                <w:rFonts w:ascii="Times New Roman" w:hAnsi="Times New Roman"/>
              </w:rPr>
            </w:pPr>
            <w:r w:rsidRPr="004F0E71">
              <w:rPr>
                <w:rFonts w:ascii="Times New Roman" w:hAnsi="Times New Roman"/>
                <w:color w:val="0070C0"/>
                <w:u w:val="single"/>
              </w:rPr>
              <w:t>Maslak Mahallesi Taşyoncası Sokak No:1/F F2 Blok 34485 Sarıyer/İstanbul/Türkiye</w:t>
            </w:r>
          </w:p>
          <w:p w14:paraId="434326B4"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Telefon: 0 (212) 264 15 70-71</w:t>
            </w:r>
          </w:p>
          <w:p w14:paraId="02309625" w14:textId="77777777" w:rsidR="0084229F" w:rsidRPr="004F0E71" w:rsidRDefault="0084229F" w:rsidP="0084229F">
            <w:pPr>
              <w:spacing w:after="0" w:line="240" w:lineRule="auto"/>
              <w:jc w:val="both"/>
              <w:rPr>
                <w:rFonts w:ascii="Times New Roman" w:hAnsi="Times New Roman"/>
              </w:rPr>
            </w:pPr>
            <w:r w:rsidRPr="004F0E71">
              <w:rPr>
                <w:rFonts w:ascii="Times New Roman" w:hAnsi="Times New Roman"/>
              </w:rPr>
              <w:t>Faks: 0 (212) 269 01 12-13</w:t>
            </w:r>
          </w:p>
          <w:p w14:paraId="2A5636B1" w14:textId="1CFCB940" w:rsidR="0084229F" w:rsidRPr="004F0E71" w:rsidRDefault="0084229F" w:rsidP="0084229F">
            <w:pPr>
              <w:pStyle w:val="Balk1"/>
              <w:keepNext/>
              <w:keepLines/>
              <w:numPr>
                <w:ilvl w:val="0"/>
                <w:numId w:val="0"/>
              </w:numPr>
              <w:autoSpaceDE/>
              <w:autoSpaceDN/>
              <w:adjustRightInd/>
              <w:spacing w:after="0"/>
              <w:rPr>
                <w:rFonts w:eastAsia="Times New Roman"/>
                <w:sz w:val="22"/>
                <w:szCs w:val="22"/>
                <w:lang w:eastAsia="tr-TR"/>
              </w:rPr>
            </w:pPr>
            <w:r w:rsidRPr="004F0E71">
              <w:rPr>
                <w:sz w:val="22"/>
                <w:szCs w:val="22"/>
              </w:rPr>
              <w:t>KEP adresi: enerjipiyasalari@hs01.kep.tr</w:t>
            </w:r>
          </w:p>
        </w:tc>
      </w:tr>
    </w:tbl>
    <w:p w14:paraId="52EEA8D7" w14:textId="77777777" w:rsidR="00064488" w:rsidRPr="00064488" w:rsidRDefault="00064488" w:rsidP="00203369">
      <w:pPr>
        <w:spacing w:after="0" w:line="240" w:lineRule="auto"/>
        <w:rPr>
          <w:rFonts w:ascii="Times New Roman" w:hAnsi="Times New Roman"/>
        </w:rPr>
      </w:pPr>
      <w:bookmarkStart w:id="0" w:name="_GoBack"/>
      <w:bookmarkEnd w:id="0"/>
    </w:p>
    <w:sectPr w:rsidR="00064488" w:rsidRPr="00064488" w:rsidSect="00064488">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D311" w14:textId="77777777" w:rsidR="007C4D57" w:rsidRDefault="007C4D57">
      <w:pPr>
        <w:spacing w:after="0" w:line="240" w:lineRule="auto"/>
      </w:pPr>
    </w:p>
  </w:endnote>
  <w:endnote w:type="continuationSeparator" w:id="0">
    <w:p w14:paraId="7763C5DC" w14:textId="77777777" w:rsidR="007C4D57" w:rsidRDefault="007C4D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FECCE" w14:textId="77777777" w:rsidR="006114C2" w:rsidRDefault="006114C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91578"/>
      <w:docPartObj>
        <w:docPartGallery w:val="Page Numbers (Bottom of Page)"/>
        <w:docPartUnique/>
      </w:docPartObj>
    </w:sdtPr>
    <w:sdtContent>
      <w:sdt>
        <w:sdtPr>
          <w:id w:val="1728636285"/>
          <w:docPartObj>
            <w:docPartGallery w:val="Page Numbers (Top of Page)"/>
            <w:docPartUnique/>
          </w:docPartObj>
        </w:sdtPr>
        <w:sdtContent>
          <w:p w14:paraId="43A05903" w14:textId="4B0D2BF1" w:rsidR="006114C2" w:rsidRDefault="006114C2">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231D318D" w14:textId="77777777" w:rsidR="006114C2" w:rsidRDefault="006114C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1F83E" w14:textId="77777777" w:rsidR="006114C2" w:rsidRDefault="006114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9C947" w14:textId="77777777" w:rsidR="007C4D57" w:rsidRDefault="007C4D57">
      <w:pPr>
        <w:spacing w:after="0" w:line="240" w:lineRule="auto"/>
      </w:pPr>
    </w:p>
  </w:footnote>
  <w:footnote w:type="continuationSeparator" w:id="0">
    <w:p w14:paraId="387BC05D" w14:textId="77777777" w:rsidR="007C4D57" w:rsidRDefault="007C4D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EC34" w14:textId="23988C7C" w:rsidR="0043562C" w:rsidRPr="006114C2" w:rsidRDefault="006114C2" w:rsidP="006114C2">
    <w:pPr>
      <w:pStyle w:val="stbilgi"/>
      <w:jc w:val="right"/>
    </w:pPr>
    <w:fldSimple w:instr=" DOCPROPERTY bjHeaderEvenPageDocProperty \* MERGEFORMAT " w:fldLock="1">
      <w:r w:rsidRPr="006114C2">
        <w:rPr>
          <w:rFonts w:ascii="Tahoma" w:hAnsi="Tahoma" w:cs="Tahoma"/>
          <w:color w:val="FF8000"/>
          <w:sz w:val="24"/>
        </w:rPr>
        <w:t>Kuruma Özel</w:t>
      </w:r>
      <w:r w:rsidRPr="006114C2">
        <w:rPr>
          <w:rFonts w:ascii="Tahoma" w:hAnsi="Tahoma" w:cs="Tahoma"/>
          <w:color w:val="000000"/>
          <w:sz w:val="24"/>
        </w:rPr>
        <w:t>-</w:t>
      </w:r>
      <w:r w:rsidRPr="006114C2">
        <w:rPr>
          <w:rFonts w:ascii="Tahoma" w:hAnsi="Tahoma" w:cs="Tahoma"/>
          <w:color w:val="00C000"/>
          <w:sz w:val="24"/>
        </w:rPr>
        <w:t>Kişisel Veri içermez</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83B4" w14:textId="73376977" w:rsidR="0043562C" w:rsidRPr="006114C2" w:rsidRDefault="006114C2" w:rsidP="006114C2">
    <w:pPr>
      <w:pStyle w:val="stbilgi"/>
      <w:jc w:val="right"/>
    </w:pPr>
    <w:fldSimple w:instr=" DOCPROPERTY bjHeaderBothDocProperty \* MERGEFORMAT " w:fldLock="1">
      <w:r w:rsidRPr="006114C2">
        <w:rPr>
          <w:rFonts w:ascii="Tahoma" w:hAnsi="Tahoma" w:cs="Tahoma"/>
          <w:color w:val="FF8000"/>
          <w:sz w:val="24"/>
        </w:rPr>
        <w:t>Kuruma Özel</w:t>
      </w:r>
      <w:r w:rsidRPr="006114C2">
        <w:rPr>
          <w:rFonts w:ascii="Tahoma" w:hAnsi="Tahoma" w:cs="Tahoma"/>
          <w:color w:val="000000"/>
          <w:sz w:val="24"/>
        </w:rPr>
        <w:t>-</w:t>
      </w:r>
      <w:r w:rsidRPr="006114C2">
        <w:rPr>
          <w:rFonts w:ascii="Tahoma" w:hAnsi="Tahoma" w:cs="Tahoma"/>
          <w:color w:val="00C000"/>
          <w:sz w:val="24"/>
        </w:rPr>
        <w:t>Kişisel Veri içermez</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A7AF8" w14:textId="1AD9DF21" w:rsidR="0043562C" w:rsidRPr="006114C2" w:rsidRDefault="006114C2" w:rsidP="006114C2">
    <w:pPr>
      <w:pStyle w:val="stbilgi"/>
      <w:jc w:val="right"/>
    </w:pPr>
    <w:fldSimple w:instr=" DOCPROPERTY bjHeaderFirstPageDocProperty \* MERGEFORMAT " w:fldLock="1">
      <w:r w:rsidRPr="006114C2">
        <w:rPr>
          <w:rFonts w:ascii="Tahoma" w:hAnsi="Tahoma" w:cs="Tahoma"/>
          <w:color w:val="FF8000"/>
          <w:sz w:val="24"/>
        </w:rPr>
        <w:t>Kuruma Özel</w:t>
      </w:r>
      <w:r w:rsidRPr="006114C2">
        <w:rPr>
          <w:rFonts w:ascii="Tahoma" w:hAnsi="Tahoma" w:cs="Tahoma"/>
          <w:color w:val="000000"/>
          <w:sz w:val="24"/>
        </w:rPr>
        <w:t>-</w:t>
      </w:r>
      <w:r w:rsidRPr="006114C2">
        <w:rPr>
          <w:rFonts w:ascii="Tahoma" w:hAnsi="Tahoma" w:cs="Tahoma"/>
          <w:color w:val="00C000"/>
          <w:sz w:val="24"/>
        </w:rPr>
        <w:t>Kişisel Veri içermez</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8A2"/>
    <w:multiLevelType w:val="hybridMultilevel"/>
    <w:tmpl w:val="D9C4C66E"/>
    <w:lvl w:ilvl="0" w:tplc="6FC0B506">
      <w:start w:val="1"/>
      <w:numFmt w:val="lowerLetter"/>
      <w:lvlText w:val="%1."/>
      <w:lvlJc w:val="left"/>
      <w:pPr>
        <w:ind w:left="1440" w:hanging="360"/>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44305C7"/>
    <w:multiLevelType w:val="multilevel"/>
    <w:tmpl w:val="99500474"/>
    <w:lvl w:ilvl="0">
      <w:start w:val="1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A07293"/>
    <w:multiLevelType w:val="hybridMultilevel"/>
    <w:tmpl w:val="3934C780"/>
    <w:lvl w:ilvl="0" w:tplc="6FC0B506">
      <w:start w:val="1"/>
      <w:numFmt w:val="lowerLetter"/>
      <w:lvlText w:val="%1."/>
      <w:lvlJc w:val="left"/>
      <w:pPr>
        <w:ind w:left="1440" w:hanging="360"/>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86D700E"/>
    <w:multiLevelType w:val="hybridMultilevel"/>
    <w:tmpl w:val="3934C780"/>
    <w:lvl w:ilvl="0" w:tplc="6FC0B506">
      <w:start w:val="1"/>
      <w:numFmt w:val="lowerLetter"/>
      <w:lvlText w:val="%1."/>
      <w:lvlJc w:val="left"/>
      <w:pPr>
        <w:ind w:left="1440" w:hanging="360"/>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4547C34"/>
    <w:multiLevelType w:val="hybridMultilevel"/>
    <w:tmpl w:val="3934C780"/>
    <w:lvl w:ilvl="0" w:tplc="6FC0B506">
      <w:start w:val="1"/>
      <w:numFmt w:val="lowerLetter"/>
      <w:lvlText w:val="%1."/>
      <w:lvlJc w:val="left"/>
      <w:pPr>
        <w:ind w:left="1440" w:hanging="360"/>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5F481ECA"/>
    <w:multiLevelType w:val="multilevel"/>
    <w:tmpl w:val="C0D2EA04"/>
    <w:lvl w:ilvl="0">
      <w:start w:val="11"/>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A149BD"/>
    <w:multiLevelType w:val="multilevel"/>
    <w:tmpl w:val="69AE9B4C"/>
    <w:lvl w:ilvl="0">
      <w:start w:val="1"/>
      <w:numFmt w:val="decimal"/>
      <w:pStyle w:val="Balk1"/>
      <w:lvlText w:val="%1."/>
      <w:lvlJc w:val="left"/>
      <w:pPr>
        <w:ind w:left="714" w:hanging="714"/>
      </w:pPr>
      <w:rPr>
        <w:rFonts w:ascii="Times New Roman" w:hAnsi="Times New Roman" w:hint="default"/>
        <w:b/>
        <w:i w:val="0"/>
        <w:sz w:val="24"/>
      </w:rPr>
    </w:lvl>
    <w:lvl w:ilvl="1">
      <w:start w:val="1"/>
      <w:numFmt w:val="decimal"/>
      <w:pStyle w:val="Balk2"/>
      <w:isLgl/>
      <w:lvlText w:val="%1.%2."/>
      <w:lvlJc w:val="left"/>
      <w:pPr>
        <w:ind w:left="708" w:hanging="708"/>
      </w:pPr>
      <w:rPr>
        <w:rFonts w:ascii="Times New Roman" w:hAnsi="Times New Roman" w:hint="default"/>
        <w:b/>
        <w:i w:val="0"/>
        <w:sz w:val="24"/>
      </w:rPr>
    </w:lvl>
    <w:lvl w:ilvl="2">
      <w:start w:val="1"/>
      <w:numFmt w:val="decimal"/>
      <w:pStyle w:val="Balk3"/>
      <w:isLgl/>
      <w:lvlText w:val="%1.%2.%3."/>
      <w:lvlJc w:val="left"/>
      <w:pPr>
        <w:ind w:left="1287" w:hanging="720"/>
      </w:pPr>
      <w:rPr>
        <w:rFonts w:hint="default"/>
        <w:b/>
        <w:i w:val="0"/>
      </w:rPr>
    </w:lvl>
    <w:lvl w:ilvl="3">
      <w:start w:val="1"/>
      <w:numFmt w:val="decimal"/>
      <w:pStyle w:val="Balk4"/>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7306157"/>
    <w:multiLevelType w:val="hybridMultilevel"/>
    <w:tmpl w:val="D9C4C66E"/>
    <w:lvl w:ilvl="0" w:tplc="6FC0B506">
      <w:start w:val="1"/>
      <w:numFmt w:val="lowerLetter"/>
      <w:lvlText w:val="%1."/>
      <w:lvlJc w:val="left"/>
      <w:pPr>
        <w:ind w:left="1440" w:hanging="360"/>
      </w:pPr>
      <w:rPr>
        <w:rFonts w:ascii="Times New Roman" w:hAnsi="Times New Roman" w:hint="default"/>
        <w:b w:val="0"/>
        <w:i w:val="0"/>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74E13CD8"/>
    <w:multiLevelType w:val="multilevel"/>
    <w:tmpl w:val="1D64F642"/>
    <w:lvl w:ilvl="0">
      <w:start w:val="11"/>
      <w:numFmt w:val="decimal"/>
      <w:lvlText w:val="%1"/>
      <w:lvlJc w:val="left"/>
      <w:pPr>
        <w:ind w:left="720" w:hanging="720"/>
      </w:pPr>
      <w:rPr>
        <w:rFonts w:hint="default"/>
      </w:rPr>
    </w:lvl>
    <w:lvl w:ilvl="1">
      <w:start w:val="14"/>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6435B8"/>
    <w:multiLevelType w:val="hybridMultilevel"/>
    <w:tmpl w:val="E5F69D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7"/>
  </w:num>
  <w:num w:numId="6">
    <w:abstractNumId w:val="0"/>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FD"/>
    <w:rsid w:val="000318BB"/>
    <w:rsid w:val="00064488"/>
    <w:rsid w:val="000668F9"/>
    <w:rsid w:val="000675A5"/>
    <w:rsid w:val="00071D92"/>
    <w:rsid w:val="0007430D"/>
    <w:rsid w:val="00076585"/>
    <w:rsid w:val="001129BD"/>
    <w:rsid w:val="00146E7B"/>
    <w:rsid w:val="00162DC8"/>
    <w:rsid w:val="001B7096"/>
    <w:rsid w:val="001D3AB8"/>
    <w:rsid w:val="001F4124"/>
    <w:rsid w:val="00203369"/>
    <w:rsid w:val="00203AEA"/>
    <w:rsid w:val="002909BC"/>
    <w:rsid w:val="002D06FD"/>
    <w:rsid w:val="002D0E21"/>
    <w:rsid w:val="003248A2"/>
    <w:rsid w:val="00346036"/>
    <w:rsid w:val="003C2F9E"/>
    <w:rsid w:val="003F193F"/>
    <w:rsid w:val="003F6CBA"/>
    <w:rsid w:val="0043562C"/>
    <w:rsid w:val="004C0837"/>
    <w:rsid w:val="004D44AE"/>
    <w:rsid w:val="004F0E71"/>
    <w:rsid w:val="00511C22"/>
    <w:rsid w:val="00526E60"/>
    <w:rsid w:val="00575A32"/>
    <w:rsid w:val="00596FFE"/>
    <w:rsid w:val="005A0BB9"/>
    <w:rsid w:val="005D0E3B"/>
    <w:rsid w:val="005F6C91"/>
    <w:rsid w:val="006114C2"/>
    <w:rsid w:val="00624127"/>
    <w:rsid w:val="00642761"/>
    <w:rsid w:val="006649CB"/>
    <w:rsid w:val="006972FB"/>
    <w:rsid w:val="006E36A4"/>
    <w:rsid w:val="006F6B37"/>
    <w:rsid w:val="00703FC1"/>
    <w:rsid w:val="007635BE"/>
    <w:rsid w:val="0077289F"/>
    <w:rsid w:val="007B17B4"/>
    <w:rsid w:val="007B6470"/>
    <w:rsid w:val="007C4D57"/>
    <w:rsid w:val="00825EE7"/>
    <w:rsid w:val="00833C3F"/>
    <w:rsid w:val="0084229F"/>
    <w:rsid w:val="00883F46"/>
    <w:rsid w:val="00894643"/>
    <w:rsid w:val="008C7602"/>
    <w:rsid w:val="00913E2D"/>
    <w:rsid w:val="009178BF"/>
    <w:rsid w:val="00986DBC"/>
    <w:rsid w:val="00994B8E"/>
    <w:rsid w:val="009B0F5B"/>
    <w:rsid w:val="00A06ABF"/>
    <w:rsid w:val="00A212E4"/>
    <w:rsid w:val="00A32288"/>
    <w:rsid w:val="00A63AFE"/>
    <w:rsid w:val="00A72321"/>
    <w:rsid w:val="00AA43F2"/>
    <w:rsid w:val="00B12C41"/>
    <w:rsid w:val="00B31F2A"/>
    <w:rsid w:val="00B479DE"/>
    <w:rsid w:val="00B610FD"/>
    <w:rsid w:val="00B73AF3"/>
    <w:rsid w:val="00BE0EC9"/>
    <w:rsid w:val="00C470BE"/>
    <w:rsid w:val="00D425B6"/>
    <w:rsid w:val="00D842A0"/>
    <w:rsid w:val="00DA18E7"/>
    <w:rsid w:val="00DB78BC"/>
    <w:rsid w:val="00E23956"/>
    <w:rsid w:val="00E630D1"/>
    <w:rsid w:val="00F14758"/>
    <w:rsid w:val="00F80437"/>
    <w:rsid w:val="00FA0916"/>
    <w:rsid w:val="00FB4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EFA02"/>
  <w15:docId w15:val="{9BF89B72-70E3-400E-A868-21D58081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9CB"/>
    <w:rPr>
      <w:rFonts w:ascii="Calibri" w:eastAsia="Calibri" w:hAnsi="Calibri" w:cs="Times New Roman"/>
    </w:rPr>
  </w:style>
  <w:style w:type="paragraph" w:styleId="Balk1">
    <w:name w:val="heading 1"/>
    <w:basedOn w:val="Normal"/>
    <w:next w:val="Normal"/>
    <w:link w:val="Balk1Char"/>
    <w:uiPriority w:val="9"/>
    <w:qFormat/>
    <w:rsid w:val="00986DBC"/>
    <w:pPr>
      <w:numPr>
        <w:numId w:val="1"/>
      </w:numPr>
      <w:autoSpaceDE w:val="0"/>
      <w:autoSpaceDN w:val="0"/>
      <w:adjustRightInd w:val="0"/>
      <w:spacing w:after="240" w:line="240" w:lineRule="auto"/>
      <w:jc w:val="both"/>
      <w:outlineLvl w:val="0"/>
    </w:pPr>
    <w:rPr>
      <w:rFonts w:ascii="Times New Roman" w:eastAsiaTheme="minorHAnsi" w:hAnsi="Times New Roman"/>
      <w:b/>
      <w:sz w:val="24"/>
      <w:szCs w:val="24"/>
    </w:rPr>
  </w:style>
  <w:style w:type="paragraph" w:styleId="Balk2">
    <w:name w:val="heading 2"/>
    <w:basedOn w:val="Normal"/>
    <w:next w:val="Normal"/>
    <w:link w:val="Balk2Char"/>
    <w:uiPriority w:val="9"/>
    <w:unhideWhenUsed/>
    <w:qFormat/>
    <w:rsid w:val="00986DBC"/>
    <w:pPr>
      <w:numPr>
        <w:ilvl w:val="1"/>
        <w:numId w:val="1"/>
      </w:numPr>
      <w:autoSpaceDE w:val="0"/>
      <w:autoSpaceDN w:val="0"/>
      <w:adjustRightInd w:val="0"/>
      <w:spacing w:after="240" w:line="240" w:lineRule="auto"/>
      <w:jc w:val="both"/>
      <w:outlineLvl w:val="1"/>
    </w:pPr>
    <w:rPr>
      <w:rFonts w:ascii="Times New Roman" w:eastAsiaTheme="minorHAnsi" w:hAnsi="Times New Roman"/>
      <w:b/>
      <w:sz w:val="24"/>
      <w:szCs w:val="24"/>
    </w:rPr>
  </w:style>
  <w:style w:type="paragraph" w:styleId="Balk3">
    <w:name w:val="heading 3"/>
    <w:basedOn w:val="Normal"/>
    <w:next w:val="Normal"/>
    <w:link w:val="Balk3Char"/>
    <w:uiPriority w:val="9"/>
    <w:unhideWhenUsed/>
    <w:qFormat/>
    <w:rsid w:val="00986DBC"/>
    <w:pPr>
      <w:numPr>
        <w:ilvl w:val="2"/>
        <w:numId w:val="1"/>
      </w:numPr>
      <w:autoSpaceDE w:val="0"/>
      <w:autoSpaceDN w:val="0"/>
      <w:adjustRightInd w:val="0"/>
      <w:spacing w:after="240" w:line="240" w:lineRule="auto"/>
      <w:ind w:left="720"/>
      <w:jc w:val="both"/>
      <w:outlineLvl w:val="2"/>
    </w:pPr>
    <w:rPr>
      <w:rFonts w:ascii="Times New Roman" w:eastAsiaTheme="minorHAnsi" w:hAnsi="Times New Roman"/>
      <w:sz w:val="24"/>
      <w:szCs w:val="24"/>
    </w:rPr>
  </w:style>
  <w:style w:type="paragraph" w:styleId="Balk4">
    <w:name w:val="heading 4"/>
    <w:basedOn w:val="Normal"/>
    <w:next w:val="Normal"/>
    <w:link w:val="Balk4Char"/>
    <w:uiPriority w:val="9"/>
    <w:unhideWhenUsed/>
    <w:qFormat/>
    <w:rsid w:val="00986DBC"/>
    <w:pPr>
      <w:numPr>
        <w:ilvl w:val="3"/>
        <w:numId w:val="1"/>
      </w:numPr>
      <w:autoSpaceDE w:val="0"/>
      <w:autoSpaceDN w:val="0"/>
      <w:adjustRightInd w:val="0"/>
      <w:spacing w:after="240" w:line="240" w:lineRule="auto"/>
      <w:ind w:left="1072" w:hanging="1072"/>
      <w:jc w:val="both"/>
      <w:outlineLvl w:val="3"/>
    </w:pPr>
    <w:rPr>
      <w:rFonts w:ascii="Times New Roman" w:eastAsiaTheme="minorHAnsi"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D3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3AB8"/>
    <w:rPr>
      <w:rFonts w:ascii="Tahoma" w:eastAsia="Calibri" w:hAnsi="Tahoma" w:cs="Tahoma"/>
      <w:sz w:val="16"/>
      <w:szCs w:val="16"/>
    </w:rPr>
  </w:style>
  <w:style w:type="character" w:styleId="AklamaBavurusu">
    <w:name w:val="annotation reference"/>
    <w:basedOn w:val="VarsaylanParagrafYazTipi"/>
    <w:uiPriority w:val="99"/>
    <w:semiHidden/>
    <w:unhideWhenUsed/>
    <w:rsid w:val="00986DBC"/>
    <w:rPr>
      <w:sz w:val="16"/>
      <w:szCs w:val="16"/>
    </w:rPr>
  </w:style>
  <w:style w:type="paragraph" w:styleId="AklamaMetni">
    <w:name w:val="annotation text"/>
    <w:basedOn w:val="Normal"/>
    <w:link w:val="AklamaMetniChar"/>
    <w:uiPriority w:val="99"/>
    <w:unhideWhenUsed/>
    <w:rsid w:val="00986DBC"/>
    <w:pPr>
      <w:spacing w:after="160"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986DBC"/>
    <w:rPr>
      <w:sz w:val="20"/>
      <w:szCs w:val="20"/>
    </w:rPr>
  </w:style>
  <w:style w:type="character" w:customStyle="1" w:styleId="Balk1Char">
    <w:name w:val="Başlık 1 Char"/>
    <w:basedOn w:val="VarsaylanParagrafYazTipi"/>
    <w:link w:val="Balk1"/>
    <w:uiPriority w:val="9"/>
    <w:rsid w:val="00986DBC"/>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986DBC"/>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986DBC"/>
    <w:rPr>
      <w:rFonts w:ascii="Times New Roman" w:hAnsi="Times New Roman" w:cs="Times New Roman"/>
      <w:sz w:val="24"/>
      <w:szCs w:val="24"/>
    </w:rPr>
  </w:style>
  <w:style w:type="character" w:customStyle="1" w:styleId="Balk4Char">
    <w:name w:val="Başlık 4 Char"/>
    <w:basedOn w:val="VarsaylanParagrafYazTipi"/>
    <w:link w:val="Balk4"/>
    <w:uiPriority w:val="9"/>
    <w:rsid w:val="00986DBC"/>
    <w:rPr>
      <w:rFonts w:ascii="Times New Roman" w:hAnsi="Times New Roman" w:cs="Times New Roman"/>
      <w:sz w:val="24"/>
      <w:szCs w:val="24"/>
    </w:rPr>
  </w:style>
  <w:style w:type="paragraph" w:customStyle="1" w:styleId="Default">
    <w:name w:val="Default"/>
    <w:rsid w:val="00986DBC"/>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63A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3AFE"/>
    <w:rPr>
      <w:rFonts w:ascii="Calibri" w:eastAsia="Calibri" w:hAnsi="Calibri" w:cs="Times New Roman"/>
    </w:rPr>
  </w:style>
  <w:style w:type="paragraph" w:styleId="Altbilgi">
    <w:name w:val="footer"/>
    <w:basedOn w:val="Normal"/>
    <w:link w:val="AltbilgiChar"/>
    <w:uiPriority w:val="99"/>
    <w:unhideWhenUsed/>
    <w:rsid w:val="00A63A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3AFE"/>
    <w:rPr>
      <w:rFonts w:ascii="Calibri" w:eastAsia="Calibri" w:hAnsi="Calibri" w:cs="Times New Roman"/>
    </w:rPr>
  </w:style>
  <w:style w:type="paragraph" w:styleId="ListeParagraf">
    <w:name w:val="List Paragraph"/>
    <w:basedOn w:val="Normal"/>
    <w:uiPriority w:val="34"/>
    <w:qFormat/>
    <w:rsid w:val="000318BB"/>
    <w:pPr>
      <w:spacing w:after="160" w:line="259" w:lineRule="auto"/>
      <w:ind w:left="720"/>
      <w:contextualSpacing/>
    </w:pPr>
    <w:rPr>
      <w:rFonts w:asciiTheme="minorHAnsi" w:eastAsiaTheme="minorHAnsi" w:hAnsiTheme="minorHAnsi" w:cstheme="minorBidi"/>
    </w:rPr>
  </w:style>
  <w:style w:type="paragraph" w:styleId="DipnotMetni">
    <w:name w:val="footnote text"/>
    <w:basedOn w:val="Normal"/>
    <w:link w:val="DipnotMetniChar"/>
    <w:uiPriority w:val="99"/>
    <w:semiHidden/>
    <w:unhideWhenUsed/>
    <w:rsid w:val="000675A5"/>
    <w:pPr>
      <w:spacing w:after="0" w:line="240" w:lineRule="auto"/>
    </w:pPr>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0675A5"/>
    <w:rPr>
      <w:sz w:val="20"/>
      <w:szCs w:val="20"/>
    </w:rPr>
  </w:style>
  <w:style w:type="character" w:styleId="DipnotBavurusu">
    <w:name w:val="footnote reference"/>
    <w:basedOn w:val="VarsaylanParagrafYazTipi"/>
    <w:uiPriority w:val="99"/>
    <w:semiHidden/>
    <w:unhideWhenUsed/>
    <w:rsid w:val="000675A5"/>
    <w:rPr>
      <w:vertAlign w:val="superscript"/>
    </w:rPr>
  </w:style>
  <w:style w:type="paragraph" w:styleId="AklamaKonusu">
    <w:name w:val="annotation subject"/>
    <w:basedOn w:val="AklamaMetni"/>
    <w:next w:val="AklamaMetni"/>
    <w:link w:val="AklamaKonusuChar"/>
    <w:uiPriority w:val="99"/>
    <w:semiHidden/>
    <w:unhideWhenUsed/>
    <w:rsid w:val="00071D92"/>
    <w:pPr>
      <w:spacing w:after="200"/>
    </w:pPr>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071D9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Props1.xml><?xml version="1.0" encoding="utf-8"?>
<ds:datastoreItem xmlns:ds="http://schemas.openxmlformats.org/officeDocument/2006/customXml" ds:itemID="{EDEF9508-B323-45E6-8785-77D765C7A2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14473</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TURBO A.Ş.</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Ali ATEŞ</dc:creator>
  <cp:keywords>Kuruma Özel / Kişisel Veri içermez</cp:keywords>
  <cp:lastModifiedBy>Ömer Budancamanak</cp:lastModifiedBy>
  <cp:revision>3</cp:revision>
  <dcterms:created xsi:type="dcterms:W3CDTF">2020-06-10T10:17:00Z</dcterms:created>
  <dcterms:modified xsi:type="dcterms:W3CDTF">2020-06-10T10:54:00Z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cd7d80a4-d3e1-4e01-91cf-2067c966cc58</vt:lpwstr>
  </property>
  <property fmtid="{D5CDD505-2E9C-101B-9397-08002B2CF9AE}" pid="3" name="bjSaver">
    <vt:lpwstr>mnRrp/4tVhrxIrtKHb+OOYRhW/CHcRWe</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