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D85" w:rsidRPr="00F321D2" w:rsidRDefault="006959B7" w:rsidP="006959B7">
      <w:pPr>
        <w:pStyle w:val="Heading3"/>
        <w:numPr>
          <w:ilvl w:val="0"/>
          <w:numId w:val="0"/>
        </w:numPr>
        <w:rPr>
          <w:rFonts w:cstheme="majorHAnsi"/>
          <w:lang w:val="en-GB"/>
        </w:rPr>
      </w:pPr>
      <w:bookmarkStart w:id="0" w:name="_Toc25763484"/>
      <w:bookmarkStart w:id="1" w:name="_Toc30075386"/>
      <w:r w:rsidRPr="00F321D2">
        <w:rPr>
          <w:rFonts w:cstheme="majorHAnsi"/>
          <w:lang w:val="en-GB"/>
        </w:rPr>
        <w:t xml:space="preserve">Balance of Month </w:t>
      </w:r>
      <w:r w:rsidR="00AC0D85" w:rsidRPr="00F321D2">
        <w:rPr>
          <w:rFonts w:cstheme="majorHAnsi"/>
          <w:lang w:val="en-GB"/>
        </w:rPr>
        <w:t xml:space="preserve">(BOM) </w:t>
      </w:r>
      <w:bookmarkEnd w:id="0"/>
      <w:bookmarkEnd w:id="1"/>
      <w:r w:rsidRPr="00F321D2">
        <w:rPr>
          <w:rFonts w:cstheme="majorHAnsi"/>
          <w:lang w:val="en-GB"/>
        </w:rPr>
        <w:t xml:space="preserve">Base Load Electricity Contract </w:t>
      </w:r>
    </w:p>
    <w:tbl>
      <w:tblPr>
        <w:tblStyle w:val="GridTable1Light-Accent51"/>
        <w:tblW w:w="9175" w:type="dxa"/>
        <w:tblLook w:val="04A0" w:firstRow="1" w:lastRow="0" w:firstColumn="1" w:lastColumn="0" w:noHBand="0" w:noVBand="1"/>
      </w:tblPr>
      <w:tblGrid>
        <w:gridCol w:w="2502"/>
        <w:gridCol w:w="6673"/>
      </w:tblGrid>
      <w:tr w:rsidR="00AC0D85" w:rsidRPr="00F321D2" w:rsidTr="00FF4C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tcPr>
          <w:p w:rsidR="003C4E0E" w:rsidRPr="00F321D2" w:rsidRDefault="00EB7FCE" w:rsidP="00FF4C15">
            <w:pPr>
              <w:spacing w:after="200" w:line="276" w:lineRule="auto"/>
              <w:jc w:val="both"/>
              <w:rPr>
                <w:rFonts w:cstheme="minorHAnsi"/>
                <w:sz w:val="18"/>
                <w:szCs w:val="20"/>
                <w:lang w:val="en-GB"/>
              </w:rPr>
            </w:pPr>
            <w:r w:rsidRPr="00F321D2">
              <w:rPr>
                <w:rFonts w:cstheme="minorHAnsi"/>
                <w:sz w:val="18"/>
                <w:szCs w:val="20"/>
                <w:lang w:val="en-GB"/>
              </w:rPr>
              <w:t xml:space="preserve">Name of Contract </w:t>
            </w:r>
          </w:p>
          <w:p w:rsidR="00AC0D85" w:rsidRPr="00F321D2" w:rsidRDefault="003C4E0E" w:rsidP="00FF4C15">
            <w:pPr>
              <w:spacing w:after="200" w:line="276" w:lineRule="auto"/>
              <w:jc w:val="both"/>
              <w:rPr>
                <w:rFonts w:cstheme="minorHAnsi"/>
                <w:sz w:val="18"/>
                <w:szCs w:val="20"/>
                <w:lang w:val="en-GB"/>
              </w:rPr>
            </w:pPr>
            <w:r w:rsidRPr="00F321D2">
              <w:rPr>
                <w:rFonts w:cstheme="minorHAnsi"/>
                <w:sz w:val="18"/>
                <w:szCs w:val="20"/>
                <w:lang w:val="en-GB"/>
              </w:rPr>
              <w:t>(EBBOMMY-D</w:t>
            </w:r>
            <w:r w:rsidR="00AC0D85" w:rsidRPr="00F321D2">
              <w:rPr>
                <w:rFonts w:cstheme="minorHAnsi"/>
                <w:sz w:val="18"/>
                <w:szCs w:val="20"/>
                <w:lang w:val="en-GB"/>
              </w:rPr>
              <w:t>)</w:t>
            </w:r>
          </w:p>
        </w:tc>
        <w:tc>
          <w:tcPr>
            <w:tcW w:w="6673" w:type="dxa"/>
          </w:tcPr>
          <w:p w:rsidR="00AC0D85" w:rsidRPr="00F321D2" w:rsidRDefault="00AC0D85" w:rsidP="008A3A61">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sz w:val="18"/>
                <w:szCs w:val="20"/>
                <w:lang w:val="en-GB"/>
              </w:rPr>
            </w:pPr>
            <w:r w:rsidRPr="00F321D2">
              <w:rPr>
                <w:rFonts w:cstheme="minorHAnsi"/>
                <w:b w:val="0"/>
                <w:sz w:val="18"/>
                <w:szCs w:val="20"/>
                <w:lang w:val="en-GB"/>
              </w:rPr>
              <w:t>E:</w:t>
            </w:r>
            <w:r w:rsidR="001F3E6A" w:rsidRPr="00F321D2">
              <w:rPr>
                <w:rFonts w:cstheme="minorHAnsi"/>
                <w:sz w:val="18"/>
                <w:szCs w:val="20"/>
                <w:lang w:val="en-GB"/>
              </w:rPr>
              <w:t xml:space="preserve"> </w:t>
            </w:r>
            <w:r w:rsidR="001F3E6A" w:rsidRPr="00F321D2">
              <w:rPr>
                <w:rFonts w:cstheme="minorHAnsi"/>
                <w:b w:val="0"/>
                <w:bCs w:val="0"/>
                <w:sz w:val="18"/>
                <w:szCs w:val="20"/>
                <w:lang w:val="en-GB"/>
              </w:rPr>
              <w:t>Electricity Contract</w:t>
            </w:r>
            <w:r w:rsidRPr="00F321D2">
              <w:rPr>
                <w:rFonts w:cstheme="minorHAnsi"/>
                <w:b w:val="0"/>
                <w:sz w:val="18"/>
                <w:szCs w:val="20"/>
                <w:lang w:val="en-GB"/>
              </w:rPr>
              <w:t xml:space="preserve">, B: </w:t>
            </w:r>
            <w:r w:rsidR="001F3E6A" w:rsidRPr="00F321D2">
              <w:rPr>
                <w:rFonts w:cstheme="minorHAnsi"/>
                <w:b w:val="0"/>
                <w:bCs w:val="0"/>
                <w:sz w:val="18"/>
                <w:szCs w:val="20"/>
                <w:lang w:val="en-GB"/>
              </w:rPr>
              <w:t>Load Type Letter Code</w:t>
            </w:r>
            <w:r w:rsidRPr="00F321D2">
              <w:rPr>
                <w:rFonts w:cstheme="minorHAnsi"/>
                <w:b w:val="0"/>
                <w:sz w:val="18"/>
                <w:szCs w:val="20"/>
                <w:lang w:val="en-GB"/>
              </w:rPr>
              <w:t xml:space="preserve">, BOM: </w:t>
            </w:r>
            <w:r w:rsidR="003C4E0E" w:rsidRPr="00F321D2">
              <w:rPr>
                <w:rFonts w:cstheme="minorHAnsi"/>
                <w:b w:val="0"/>
                <w:sz w:val="18"/>
                <w:szCs w:val="20"/>
                <w:lang w:val="en-GB"/>
              </w:rPr>
              <w:t>Balance of Month, M</w:t>
            </w:r>
            <w:r w:rsidRPr="00F321D2">
              <w:rPr>
                <w:rFonts w:cstheme="minorHAnsi"/>
                <w:b w:val="0"/>
                <w:sz w:val="18"/>
                <w:szCs w:val="20"/>
                <w:lang w:val="en-GB"/>
              </w:rPr>
              <w:t xml:space="preserve">: </w:t>
            </w:r>
            <w:r w:rsidR="00E7594E" w:rsidRPr="00F321D2">
              <w:rPr>
                <w:rFonts w:cstheme="minorHAnsi"/>
                <w:b w:val="0"/>
                <w:sz w:val="18"/>
                <w:szCs w:val="20"/>
                <w:lang w:val="en-GB"/>
              </w:rPr>
              <w:t xml:space="preserve">Month </w:t>
            </w:r>
            <w:r w:rsidR="008A3A61" w:rsidRPr="00F321D2">
              <w:rPr>
                <w:rFonts w:cstheme="minorHAnsi"/>
                <w:b w:val="0"/>
                <w:sz w:val="18"/>
                <w:szCs w:val="20"/>
                <w:lang w:val="en-GB"/>
              </w:rPr>
              <w:t>belonging to</w:t>
            </w:r>
            <w:r w:rsidR="00E7594E" w:rsidRPr="00F321D2">
              <w:rPr>
                <w:rFonts w:cstheme="minorHAnsi"/>
                <w:b w:val="0"/>
                <w:sz w:val="18"/>
                <w:szCs w:val="20"/>
                <w:lang w:val="en-GB"/>
              </w:rPr>
              <w:t xml:space="preserve"> the Delivery Period of Relevant Year, </w:t>
            </w:r>
            <w:r w:rsidRPr="00F321D2">
              <w:rPr>
                <w:rFonts w:cstheme="minorHAnsi"/>
                <w:b w:val="0"/>
                <w:sz w:val="18"/>
                <w:szCs w:val="20"/>
                <w:lang w:val="en-GB"/>
              </w:rPr>
              <w:t>Y</w:t>
            </w:r>
            <w:r w:rsidR="003C4E0E" w:rsidRPr="00F321D2">
              <w:rPr>
                <w:rFonts w:cstheme="minorHAnsi"/>
                <w:b w:val="0"/>
                <w:sz w:val="18"/>
                <w:szCs w:val="20"/>
                <w:lang w:val="en-GB"/>
              </w:rPr>
              <w:t xml:space="preserve">: </w:t>
            </w:r>
            <w:r w:rsidR="00E7594E" w:rsidRPr="00F321D2">
              <w:rPr>
                <w:rFonts w:cstheme="minorHAnsi"/>
                <w:b w:val="0"/>
                <w:sz w:val="18"/>
                <w:szCs w:val="20"/>
                <w:lang w:val="en-GB"/>
              </w:rPr>
              <w:t xml:space="preserve">Year </w:t>
            </w:r>
            <w:r w:rsidR="008A3A61" w:rsidRPr="00F321D2">
              <w:rPr>
                <w:rFonts w:cstheme="minorHAnsi"/>
                <w:b w:val="0"/>
                <w:sz w:val="18"/>
                <w:szCs w:val="20"/>
                <w:lang w:val="en-GB"/>
              </w:rPr>
              <w:t>belonging to the</w:t>
            </w:r>
            <w:r w:rsidR="00E7594E" w:rsidRPr="00F321D2">
              <w:rPr>
                <w:rFonts w:cstheme="minorHAnsi"/>
                <w:b w:val="0"/>
                <w:sz w:val="18"/>
                <w:szCs w:val="20"/>
                <w:lang w:val="en-GB"/>
              </w:rPr>
              <w:t xml:space="preserve"> Delivery Period</w:t>
            </w:r>
            <w:r w:rsidR="003C4E0E" w:rsidRPr="00F321D2">
              <w:rPr>
                <w:rFonts w:cstheme="minorHAnsi"/>
                <w:b w:val="0"/>
                <w:sz w:val="18"/>
                <w:szCs w:val="20"/>
                <w:lang w:val="en-GB"/>
              </w:rPr>
              <w:t xml:space="preserve"> D</w:t>
            </w:r>
            <w:r w:rsidRPr="00F321D2">
              <w:rPr>
                <w:rFonts w:cstheme="minorHAnsi"/>
                <w:b w:val="0"/>
                <w:sz w:val="18"/>
                <w:szCs w:val="20"/>
                <w:lang w:val="en-GB"/>
              </w:rPr>
              <w:t>:</w:t>
            </w:r>
            <w:r w:rsidR="0065334D" w:rsidRPr="00F321D2">
              <w:rPr>
                <w:rFonts w:cstheme="minorHAnsi"/>
                <w:b w:val="0"/>
                <w:sz w:val="18"/>
                <w:szCs w:val="20"/>
                <w:lang w:val="en-GB"/>
              </w:rPr>
              <w:t xml:space="preserve"> Commencement Date of the Balance of Month Contract </w:t>
            </w:r>
            <w:r w:rsidR="003C4E0E" w:rsidRPr="00F321D2">
              <w:rPr>
                <w:rFonts w:cstheme="minorHAnsi"/>
                <w:sz w:val="18"/>
                <w:szCs w:val="20"/>
                <w:lang w:val="en-GB"/>
              </w:rPr>
              <w:t>(</w:t>
            </w:r>
            <w:r w:rsidR="0065334D" w:rsidRPr="00F321D2">
              <w:rPr>
                <w:rFonts w:cstheme="minorHAnsi"/>
                <w:sz w:val="18"/>
                <w:szCs w:val="20"/>
                <w:lang w:val="en-GB"/>
              </w:rPr>
              <w:t>Example</w:t>
            </w:r>
            <w:r w:rsidR="003C4E0E" w:rsidRPr="00F321D2">
              <w:rPr>
                <w:rFonts w:cstheme="minorHAnsi"/>
                <w:sz w:val="18"/>
                <w:szCs w:val="20"/>
                <w:lang w:val="en-GB"/>
              </w:rPr>
              <w:t xml:space="preserve">: </w:t>
            </w:r>
            <w:r w:rsidR="0065334D" w:rsidRPr="00F321D2">
              <w:rPr>
                <w:rFonts w:cstheme="minorHAnsi"/>
                <w:sz w:val="18"/>
                <w:szCs w:val="20"/>
                <w:lang w:val="en-GB"/>
              </w:rPr>
              <w:t>Balance of moth base load contract that enters into force on 2</w:t>
            </w:r>
            <w:r w:rsidR="0065334D" w:rsidRPr="00F321D2">
              <w:rPr>
                <w:rFonts w:cstheme="minorHAnsi"/>
                <w:sz w:val="18"/>
                <w:szCs w:val="20"/>
                <w:vertAlign w:val="superscript"/>
                <w:lang w:val="en-GB"/>
              </w:rPr>
              <w:t>nd</w:t>
            </w:r>
            <w:r w:rsidR="0065334D" w:rsidRPr="00F321D2">
              <w:rPr>
                <w:rFonts w:cstheme="minorHAnsi"/>
                <w:sz w:val="18"/>
                <w:szCs w:val="20"/>
                <w:lang w:val="en-GB"/>
              </w:rPr>
              <w:t xml:space="preserve"> of July and expires on 31</w:t>
            </w:r>
            <w:r w:rsidR="0065334D" w:rsidRPr="00F321D2">
              <w:rPr>
                <w:rFonts w:cstheme="minorHAnsi"/>
                <w:sz w:val="18"/>
                <w:szCs w:val="20"/>
                <w:vertAlign w:val="superscript"/>
                <w:lang w:val="en-GB"/>
              </w:rPr>
              <w:t>st</w:t>
            </w:r>
            <w:r w:rsidR="0065334D" w:rsidRPr="00F321D2">
              <w:rPr>
                <w:rFonts w:cstheme="minorHAnsi"/>
                <w:sz w:val="18"/>
                <w:szCs w:val="20"/>
                <w:lang w:val="en-GB"/>
              </w:rPr>
              <w:t xml:space="preserve"> of July 2021 shall be named as follows: </w:t>
            </w:r>
            <w:r w:rsidR="003C4E0E" w:rsidRPr="00F321D2">
              <w:rPr>
                <w:rFonts w:cstheme="minorHAnsi"/>
                <w:sz w:val="18"/>
                <w:szCs w:val="20"/>
                <w:lang w:val="en-GB"/>
              </w:rPr>
              <w:t>EBBOM0721</w:t>
            </w:r>
            <w:r w:rsidRPr="00F321D2">
              <w:rPr>
                <w:rFonts w:cstheme="minorHAnsi"/>
                <w:sz w:val="18"/>
                <w:szCs w:val="20"/>
                <w:lang w:val="en-GB"/>
              </w:rPr>
              <w:t>-02)</w:t>
            </w:r>
            <w:r w:rsidRPr="00F321D2">
              <w:rPr>
                <w:rFonts w:cstheme="minorHAnsi"/>
                <w:b w:val="0"/>
                <w:sz w:val="18"/>
                <w:szCs w:val="20"/>
                <w:lang w:val="en-GB"/>
              </w:rPr>
              <w:t xml:space="preserve"> </w:t>
            </w:r>
            <w:r w:rsidR="008469B2">
              <w:rPr>
                <w:rFonts w:cstheme="minorHAnsi"/>
                <w:b w:val="0"/>
                <w:sz w:val="18"/>
                <w:szCs w:val="20"/>
                <w:lang w:val="en-GB"/>
              </w:rPr>
              <w:t xml:space="preserve"> </w:t>
            </w:r>
          </w:p>
        </w:tc>
      </w:tr>
      <w:tr w:rsidR="00AC0D85" w:rsidRPr="00F321D2"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F321D2" w:rsidRDefault="0065334D" w:rsidP="00FF4C15">
            <w:pPr>
              <w:spacing w:after="200" w:line="276" w:lineRule="auto"/>
              <w:jc w:val="both"/>
              <w:rPr>
                <w:rFonts w:cstheme="minorHAnsi"/>
                <w:sz w:val="18"/>
                <w:szCs w:val="20"/>
                <w:lang w:val="en-GB"/>
              </w:rPr>
            </w:pPr>
            <w:r w:rsidRPr="00F321D2">
              <w:rPr>
                <w:rFonts w:cstheme="minorHAnsi"/>
                <w:sz w:val="18"/>
                <w:szCs w:val="20"/>
                <w:lang w:val="en-GB"/>
              </w:rPr>
              <w:t xml:space="preserve">Underlying Asset </w:t>
            </w:r>
          </w:p>
        </w:tc>
        <w:tc>
          <w:tcPr>
            <w:tcW w:w="6673" w:type="dxa"/>
          </w:tcPr>
          <w:p w:rsidR="00AC0D85" w:rsidRPr="00F321D2" w:rsidRDefault="00854F0A" w:rsidP="009E49D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321D2">
              <w:rPr>
                <w:rFonts w:cstheme="minorHAnsi"/>
                <w:sz w:val="18"/>
                <w:szCs w:val="20"/>
                <w:lang w:val="en-GB"/>
              </w:rPr>
              <w:t xml:space="preserve">Physical </w:t>
            </w:r>
            <w:r w:rsidR="009A0D44" w:rsidRPr="00F321D2">
              <w:rPr>
                <w:rFonts w:cstheme="minorHAnsi"/>
                <w:sz w:val="18"/>
                <w:szCs w:val="20"/>
                <w:lang w:val="en-GB"/>
              </w:rPr>
              <w:t>Balance of Month</w:t>
            </w:r>
            <w:r w:rsidRPr="00F321D2">
              <w:rPr>
                <w:rFonts w:cstheme="minorHAnsi"/>
                <w:sz w:val="18"/>
                <w:szCs w:val="20"/>
                <w:lang w:val="en-GB"/>
              </w:rPr>
              <w:t xml:space="preserve"> Base Load Electricity Futures Contract obliges the parties to the contract to supply or draw electricity in 1 Lot (0,1 MW) and multiplies of it, in equal quantities every hour, from 00.00 hrs on the </w:t>
            </w:r>
            <w:r w:rsidR="00EA1557" w:rsidRPr="00F321D2">
              <w:rPr>
                <w:rFonts w:cstheme="minorHAnsi"/>
                <w:sz w:val="18"/>
                <w:szCs w:val="20"/>
                <w:lang w:val="en-GB"/>
              </w:rPr>
              <w:t>second</w:t>
            </w:r>
            <w:r w:rsidRPr="00F321D2">
              <w:rPr>
                <w:rFonts w:cstheme="minorHAnsi"/>
                <w:sz w:val="18"/>
                <w:szCs w:val="20"/>
                <w:lang w:val="en-GB"/>
              </w:rPr>
              <w:t xml:space="preserve"> day </w:t>
            </w:r>
            <w:r w:rsidR="00EA1557" w:rsidRPr="00F321D2">
              <w:rPr>
                <w:rFonts w:cstheme="minorHAnsi"/>
                <w:sz w:val="18"/>
                <w:szCs w:val="20"/>
                <w:lang w:val="en-GB"/>
              </w:rPr>
              <w:t xml:space="preserve">following the business day on which the relevant contract was open </w:t>
            </w:r>
            <w:r w:rsidR="009E49DD" w:rsidRPr="00F321D2">
              <w:rPr>
                <w:rFonts w:cstheme="minorHAnsi"/>
                <w:sz w:val="18"/>
                <w:szCs w:val="20"/>
                <w:lang w:val="en-GB"/>
              </w:rPr>
              <w:t>for</w:t>
            </w:r>
            <w:r w:rsidR="00EA1557" w:rsidRPr="00F321D2">
              <w:rPr>
                <w:rFonts w:cstheme="minorHAnsi"/>
                <w:sz w:val="18"/>
                <w:szCs w:val="20"/>
                <w:lang w:val="en-GB"/>
              </w:rPr>
              <w:t xml:space="preserve"> trading </w:t>
            </w:r>
            <w:r w:rsidRPr="00F321D2">
              <w:rPr>
                <w:rFonts w:cstheme="minorHAnsi"/>
                <w:sz w:val="18"/>
                <w:szCs w:val="20"/>
                <w:lang w:val="en-GB"/>
              </w:rPr>
              <w:t xml:space="preserve">to 23.59 hrs on the last day of </w:t>
            </w:r>
            <w:r w:rsidR="00EA1557" w:rsidRPr="00F321D2">
              <w:rPr>
                <w:rFonts w:cstheme="minorHAnsi"/>
                <w:sz w:val="18"/>
                <w:szCs w:val="20"/>
                <w:lang w:val="en-GB"/>
              </w:rPr>
              <w:t>relevant month</w:t>
            </w:r>
            <w:r w:rsidRPr="00F321D2">
              <w:rPr>
                <w:rFonts w:cstheme="minorHAnsi"/>
                <w:sz w:val="18"/>
                <w:szCs w:val="20"/>
                <w:lang w:val="en-GB"/>
              </w:rPr>
              <w:t>. The number of Lots to be traded shall be arranged by the market participant itself depending on the size of the intended trade</w:t>
            </w:r>
            <w:r w:rsidR="00AC0D85" w:rsidRPr="00F321D2">
              <w:rPr>
                <w:rFonts w:cstheme="minorHAnsi"/>
                <w:sz w:val="18"/>
                <w:szCs w:val="20"/>
                <w:lang w:val="en-GB"/>
              </w:rPr>
              <w:t xml:space="preserve">.  </w:t>
            </w:r>
            <w:r w:rsidR="00AC6D16">
              <w:rPr>
                <w:rFonts w:cstheme="minorHAnsi"/>
                <w:sz w:val="18"/>
                <w:szCs w:val="20"/>
                <w:lang w:val="en-GB"/>
              </w:rPr>
              <w:t xml:space="preserve"> </w:t>
            </w:r>
          </w:p>
        </w:tc>
      </w:tr>
      <w:tr w:rsidR="00A855E1" w:rsidRPr="00F321D2" w:rsidTr="00FF4C15">
        <w:tc>
          <w:tcPr>
            <w:cnfStyle w:val="001000000000" w:firstRow="0" w:lastRow="0" w:firstColumn="1" w:lastColumn="0" w:oddVBand="0" w:evenVBand="0" w:oddHBand="0" w:evenHBand="0" w:firstRowFirstColumn="0" w:firstRowLastColumn="0" w:lastRowFirstColumn="0" w:lastRowLastColumn="0"/>
            <w:tcW w:w="2502" w:type="dxa"/>
          </w:tcPr>
          <w:p w:rsidR="00A855E1" w:rsidRPr="00F321D2" w:rsidRDefault="00A855E1" w:rsidP="00E60977">
            <w:pPr>
              <w:spacing w:after="160" w:line="276" w:lineRule="auto"/>
              <w:jc w:val="both"/>
              <w:rPr>
                <w:rFonts w:cstheme="minorHAnsi"/>
                <w:sz w:val="18"/>
                <w:szCs w:val="20"/>
                <w:lang w:val="en-GB"/>
              </w:rPr>
            </w:pPr>
            <w:r w:rsidRPr="00F321D2">
              <w:rPr>
                <w:rFonts w:cstheme="minorHAnsi"/>
                <w:sz w:val="18"/>
                <w:szCs w:val="20"/>
                <w:lang w:val="en-GB"/>
              </w:rPr>
              <w:t>Bid</w:t>
            </w:r>
            <w:r w:rsidR="00E60977">
              <w:rPr>
                <w:rFonts w:cstheme="minorHAnsi"/>
                <w:sz w:val="18"/>
                <w:szCs w:val="20"/>
                <w:lang w:val="en-GB"/>
              </w:rPr>
              <w:t>ding Zone</w:t>
            </w:r>
            <w:r w:rsidRPr="00F321D2">
              <w:rPr>
                <w:rFonts w:cstheme="minorHAnsi"/>
                <w:sz w:val="18"/>
                <w:szCs w:val="20"/>
                <w:lang w:val="en-GB"/>
              </w:rPr>
              <w:t xml:space="preserve"> </w:t>
            </w:r>
          </w:p>
        </w:tc>
        <w:tc>
          <w:tcPr>
            <w:tcW w:w="6673" w:type="dxa"/>
          </w:tcPr>
          <w:p w:rsidR="00A855E1" w:rsidRPr="00F321D2" w:rsidRDefault="00A855E1" w:rsidP="00A30E1A">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321D2">
              <w:rPr>
                <w:rFonts w:cstheme="minorHAnsi"/>
                <w:sz w:val="18"/>
                <w:szCs w:val="20"/>
                <w:lang w:val="en-GB"/>
              </w:rPr>
              <w:t xml:space="preserve">Turkey </w:t>
            </w:r>
            <w:r w:rsidR="00514E54">
              <w:rPr>
                <w:rFonts w:cstheme="minorHAnsi"/>
                <w:sz w:val="18"/>
                <w:szCs w:val="20"/>
                <w:lang w:val="en-GB"/>
              </w:rPr>
              <w:t xml:space="preserve"> </w:t>
            </w:r>
          </w:p>
        </w:tc>
      </w:tr>
      <w:tr w:rsidR="00A855E1" w:rsidRPr="00F321D2" w:rsidTr="00FF4C15">
        <w:tc>
          <w:tcPr>
            <w:cnfStyle w:val="001000000000" w:firstRow="0" w:lastRow="0" w:firstColumn="1" w:lastColumn="0" w:oddVBand="0" w:evenVBand="0" w:oddHBand="0" w:evenHBand="0" w:firstRowFirstColumn="0" w:firstRowLastColumn="0" w:lastRowFirstColumn="0" w:lastRowLastColumn="0"/>
            <w:tcW w:w="2502" w:type="dxa"/>
          </w:tcPr>
          <w:p w:rsidR="00A855E1" w:rsidRPr="00F321D2" w:rsidRDefault="00A855E1" w:rsidP="00A30E1A">
            <w:pPr>
              <w:spacing w:after="160" w:line="276" w:lineRule="auto"/>
              <w:jc w:val="both"/>
              <w:rPr>
                <w:rFonts w:cstheme="minorHAnsi"/>
                <w:sz w:val="18"/>
                <w:szCs w:val="20"/>
                <w:lang w:val="en-GB"/>
              </w:rPr>
            </w:pPr>
            <w:r w:rsidRPr="00F321D2">
              <w:rPr>
                <w:rFonts w:cstheme="minorHAnsi"/>
                <w:sz w:val="18"/>
                <w:szCs w:val="20"/>
                <w:lang w:val="en-GB"/>
              </w:rPr>
              <w:t xml:space="preserve">Minimum Trading Quantity </w:t>
            </w:r>
          </w:p>
        </w:tc>
        <w:tc>
          <w:tcPr>
            <w:tcW w:w="6673" w:type="dxa"/>
          </w:tcPr>
          <w:p w:rsidR="00A855E1" w:rsidRPr="00F321D2" w:rsidRDefault="00A855E1" w:rsidP="00A30E1A">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321D2">
              <w:rPr>
                <w:rFonts w:cstheme="minorHAnsi"/>
                <w:sz w:val="18"/>
                <w:szCs w:val="20"/>
                <w:lang w:val="en-GB"/>
              </w:rPr>
              <w:t>1 Lot = 0,1 MW</w:t>
            </w:r>
          </w:p>
        </w:tc>
      </w:tr>
      <w:tr w:rsidR="00AC0D85" w:rsidRPr="00F321D2"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F321D2" w:rsidRDefault="008B180C" w:rsidP="008B180C">
            <w:pPr>
              <w:spacing w:after="200" w:line="276" w:lineRule="auto"/>
              <w:jc w:val="both"/>
              <w:rPr>
                <w:rFonts w:cstheme="minorHAnsi"/>
                <w:sz w:val="18"/>
                <w:szCs w:val="20"/>
                <w:lang w:val="en-GB"/>
              </w:rPr>
            </w:pPr>
            <w:r w:rsidRPr="00F321D2">
              <w:rPr>
                <w:rFonts w:cstheme="minorHAnsi"/>
                <w:sz w:val="18"/>
                <w:szCs w:val="20"/>
                <w:lang w:val="en-GB"/>
              </w:rPr>
              <w:t xml:space="preserve">Contract Size </w:t>
            </w:r>
          </w:p>
        </w:tc>
        <w:tc>
          <w:tcPr>
            <w:tcW w:w="6673" w:type="dxa"/>
          </w:tcPr>
          <w:p w:rsidR="008B180C" w:rsidRPr="00F321D2" w:rsidRDefault="008B180C" w:rsidP="008B180C">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321D2">
              <w:rPr>
                <w:rFonts w:cstheme="minorHAnsi"/>
                <w:sz w:val="18"/>
                <w:szCs w:val="20"/>
                <w:lang w:val="en-GB"/>
              </w:rPr>
              <w:t>Number of hours in the delivery period x 0, 1 MW</w:t>
            </w:r>
          </w:p>
          <w:p w:rsidR="008B180C" w:rsidRPr="00F321D2" w:rsidRDefault="008B180C" w:rsidP="008B180C">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321D2">
              <w:rPr>
                <w:rFonts w:cstheme="minorHAnsi"/>
                <w:sz w:val="18"/>
                <w:szCs w:val="20"/>
                <w:lang w:val="en-GB"/>
              </w:rPr>
              <w:t>Number of hours in the delivery period: Number of days in the delivery period x 24</w:t>
            </w:r>
          </w:p>
          <w:p w:rsidR="00AC0D85" w:rsidRPr="00F321D2" w:rsidRDefault="008B180C" w:rsidP="00D61A6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321D2">
              <w:rPr>
                <w:rFonts w:cstheme="minorHAnsi"/>
                <w:sz w:val="18"/>
                <w:szCs w:val="20"/>
                <w:lang w:val="en-GB"/>
              </w:rPr>
              <w:t xml:space="preserve">The contract size varies depending on the number of days in the delivery period and the summer time / winter time application. For the day when the winter time is switched to the summer time, the number of </w:t>
            </w:r>
            <w:r w:rsidR="00D61A6D">
              <w:rPr>
                <w:rFonts w:cstheme="minorHAnsi"/>
                <w:sz w:val="18"/>
                <w:szCs w:val="20"/>
                <w:lang w:val="en-GB"/>
              </w:rPr>
              <w:t>hours</w:t>
            </w:r>
            <w:r w:rsidRPr="00F321D2">
              <w:rPr>
                <w:rFonts w:cstheme="minorHAnsi"/>
                <w:sz w:val="18"/>
                <w:szCs w:val="20"/>
                <w:lang w:val="en-GB"/>
              </w:rPr>
              <w:t xml:space="preserve"> shall be taken as 23 hours while for the day when the summer time is switching to the winter time, the number of </w:t>
            </w:r>
            <w:r w:rsidR="00D61A6D">
              <w:rPr>
                <w:rFonts w:cstheme="minorHAnsi"/>
                <w:sz w:val="18"/>
                <w:szCs w:val="20"/>
                <w:lang w:val="en-GB"/>
              </w:rPr>
              <w:t>hours</w:t>
            </w:r>
            <w:r w:rsidRPr="00F321D2">
              <w:rPr>
                <w:rFonts w:cstheme="minorHAnsi"/>
                <w:sz w:val="18"/>
                <w:szCs w:val="20"/>
                <w:lang w:val="en-GB"/>
              </w:rPr>
              <w:t xml:space="preserve"> shall be taken as 25 hours</w:t>
            </w:r>
            <w:r w:rsidR="00AC0D85" w:rsidRPr="00F321D2">
              <w:rPr>
                <w:rFonts w:cstheme="minorHAnsi"/>
                <w:sz w:val="18"/>
                <w:szCs w:val="20"/>
                <w:lang w:val="en-GB"/>
              </w:rPr>
              <w:t>.</w:t>
            </w:r>
          </w:p>
        </w:tc>
      </w:tr>
      <w:tr w:rsidR="00BD1959" w:rsidRPr="00F321D2" w:rsidTr="00FF4C15">
        <w:tc>
          <w:tcPr>
            <w:cnfStyle w:val="001000000000" w:firstRow="0" w:lastRow="0" w:firstColumn="1" w:lastColumn="0" w:oddVBand="0" w:evenVBand="0" w:oddHBand="0" w:evenHBand="0" w:firstRowFirstColumn="0" w:firstRowLastColumn="0" w:lastRowFirstColumn="0" w:lastRowLastColumn="0"/>
            <w:tcW w:w="2502" w:type="dxa"/>
          </w:tcPr>
          <w:p w:rsidR="00BD1959" w:rsidRPr="00F321D2" w:rsidRDefault="00BD1959" w:rsidP="00A30E1A">
            <w:pPr>
              <w:spacing w:after="160" w:line="276" w:lineRule="auto"/>
              <w:jc w:val="both"/>
              <w:rPr>
                <w:rFonts w:cstheme="minorHAnsi"/>
                <w:sz w:val="18"/>
                <w:szCs w:val="20"/>
                <w:lang w:val="en-GB"/>
              </w:rPr>
            </w:pPr>
            <w:r w:rsidRPr="00F321D2">
              <w:rPr>
                <w:rFonts w:cstheme="minorHAnsi"/>
                <w:sz w:val="18"/>
                <w:szCs w:val="20"/>
                <w:lang w:val="en-GB"/>
              </w:rPr>
              <w:t xml:space="preserve">Matching Price </w:t>
            </w:r>
          </w:p>
        </w:tc>
        <w:tc>
          <w:tcPr>
            <w:tcW w:w="6673" w:type="dxa"/>
          </w:tcPr>
          <w:p w:rsidR="00BD1959" w:rsidRPr="00F321D2" w:rsidRDefault="00BD1959" w:rsidP="003E6844">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321D2">
              <w:rPr>
                <w:rFonts w:cstheme="minorHAnsi"/>
                <w:sz w:val="18"/>
                <w:szCs w:val="20"/>
                <w:lang w:val="en-GB"/>
              </w:rPr>
              <w:t xml:space="preserve">The price of </w:t>
            </w:r>
            <w:r w:rsidR="00D61A6D">
              <w:rPr>
                <w:rFonts w:cstheme="minorHAnsi"/>
                <w:sz w:val="18"/>
                <w:szCs w:val="20"/>
                <w:lang w:val="en-GB"/>
              </w:rPr>
              <w:t xml:space="preserve">the </w:t>
            </w:r>
            <w:r w:rsidRPr="00F321D2">
              <w:rPr>
                <w:rFonts w:cstheme="minorHAnsi"/>
                <w:sz w:val="18"/>
                <w:szCs w:val="20"/>
                <w:lang w:val="en-GB"/>
              </w:rPr>
              <w:t xml:space="preserve">trade that takes place in case the relevant </w:t>
            </w:r>
            <w:r w:rsidR="00D61A6D">
              <w:rPr>
                <w:rFonts w:cstheme="minorHAnsi"/>
                <w:sz w:val="18"/>
                <w:szCs w:val="20"/>
                <w:lang w:val="en-GB"/>
              </w:rPr>
              <w:t>orders</w:t>
            </w:r>
            <w:r w:rsidRPr="00F321D2">
              <w:rPr>
                <w:rFonts w:cstheme="minorHAnsi"/>
                <w:sz w:val="18"/>
                <w:szCs w:val="20"/>
                <w:lang w:val="en-GB"/>
              </w:rPr>
              <w:t xml:space="preserve"> match </w:t>
            </w:r>
            <w:r w:rsidR="00D61A6D">
              <w:rPr>
                <w:rFonts w:cstheme="minorHAnsi"/>
                <w:sz w:val="18"/>
                <w:szCs w:val="20"/>
                <w:lang w:val="en-GB"/>
              </w:rPr>
              <w:t>is</w:t>
            </w:r>
            <w:r w:rsidRPr="00F321D2">
              <w:rPr>
                <w:rFonts w:cstheme="minorHAnsi"/>
                <w:sz w:val="18"/>
                <w:szCs w:val="20"/>
                <w:lang w:val="en-GB"/>
              </w:rPr>
              <w:t xml:space="preserve"> equal to</w:t>
            </w:r>
            <w:r w:rsidR="00D61A6D">
              <w:rPr>
                <w:rFonts w:cstheme="minorHAnsi"/>
                <w:sz w:val="18"/>
                <w:szCs w:val="20"/>
                <w:lang w:val="en-GB"/>
              </w:rPr>
              <w:t xml:space="preserve"> the</w:t>
            </w:r>
            <w:r w:rsidRPr="00F321D2">
              <w:rPr>
                <w:rFonts w:cstheme="minorHAnsi"/>
                <w:sz w:val="18"/>
                <w:szCs w:val="20"/>
                <w:lang w:val="en-GB"/>
              </w:rPr>
              <w:t xml:space="preserve"> price of the </w:t>
            </w:r>
            <w:r w:rsidR="00D61A6D">
              <w:rPr>
                <w:rFonts w:cstheme="minorHAnsi"/>
                <w:sz w:val="18"/>
                <w:szCs w:val="20"/>
                <w:lang w:val="en-GB"/>
              </w:rPr>
              <w:t>order</w:t>
            </w:r>
            <w:r w:rsidRPr="00F321D2">
              <w:rPr>
                <w:rFonts w:cstheme="minorHAnsi"/>
                <w:sz w:val="18"/>
                <w:szCs w:val="20"/>
                <w:lang w:val="en-GB"/>
              </w:rPr>
              <w:t xml:space="preserve"> </w:t>
            </w:r>
            <w:r w:rsidR="00D61A6D">
              <w:rPr>
                <w:rFonts w:cstheme="minorHAnsi"/>
                <w:sz w:val="18"/>
                <w:szCs w:val="20"/>
                <w:lang w:val="en-GB"/>
              </w:rPr>
              <w:t>submitted</w:t>
            </w:r>
            <w:r w:rsidRPr="00F321D2">
              <w:rPr>
                <w:rFonts w:cstheme="minorHAnsi"/>
                <w:sz w:val="18"/>
                <w:szCs w:val="20"/>
                <w:lang w:val="en-GB"/>
              </w:rPr>
              <w:t xml:space="preserve"> first to the </w:t>
            </w:r>
            <w:r w:rsidR="003E6844">
              <w:rPr>
                <w:rFonts w:cstheme="minorHAnsi"/>
                <w:sz w:val="18"/>
                <w:szCs w:val="20"/>
                <w:lang w:val="en-GB"/>
              </w:rPr>
              <w:t xml:space="preserve">order </w:t>
            </w:r>
            <w:r w:rsidRPr="00F321D2">
              <w:rPr>
                <w:rFonts w:cstheme="minorHAnsi"/>
                <w:sz w:val="18"/>
                <w:szCs w:val="20"/>
                <w:lang w:val="en-GB"/>
              </w:rPr>
              <w:t>book.</w:t>
            </w:r>
          </w:p>
        </w:tc>
      </w:tr>
      <w:tr w:rsidR="00BD1959" w:rsidRPr="00F321D2" w:rsidTr="00FF4C15">
        <w:tc>
          <w:tcPr>
            <w:cnfStyle w:val="001000000000" w:firstRow="0" w:lastRow="0" w:firstColumn="1" w:lastColumn="0" w:oddVBand="0" w:evenVBand="0" w:oddHBand="0" w:evenHBand="0" w:firstRowFirstColumn="0" w:firstRowLastColumn="0" w:lastRowFirstColumn="0" w:lastRowLastColumn="0"/>
            <w:tcW w:w="2502" w:type="dxa"/>
          </w:tcPr>
          <w:p w:rsidR="00BD1959" w:rsidRPr="00F321D2" w:rsidRDefault="00D61A6D" w:rsidP="00A30E1A">
            <w:pPr>
              <w:spacing w:after="160" w:line="276" w:lineRule="auto"/>
              <w:rPr>
                <w:rFonts w:cstheme="minorHAnsi"/>
                <w:sz w:val="18"/>
                <w:szCs w:val="20"/>
                <w:lang w:val="en-GB"/>
              </w:rPr>
            </w:pPr>
            <w:r>
              <w:rPr>
                <w:rFonts w:cstheme="minorHAnsi"/>
                <w:sz w:val="18"/>
                <w:szCs w:val="20"/>
                <w:lang w:val="en-GB"/>
              </w:rPr>
              <w:t>Order</w:t>
            </w:r>
            <w:r w:rsidR="00BD1959" w:rsidRPr="00F321D2">
              <w:rPr>
                <w:rFonts w:cstheme="minorHAnsi"/>
                <w:sz w:val="18"/>
                <w:szCs w:val="20"/>
                <w:lang w:val="en-GB"/>
              </w:rPr>
              <w:t xml:space="preserve"> Price and Tick Size (Minimum Price Increment)</w:t>
            </w:r>
          </w:p>
        </w:tc>
        <w:tc>
          <w:tcPr>
            <w:tcW w:w="6673" w:type="dxa"/>
          </w:tcPr>
          <w:p w:rsidR="00BD1959" w:rsidRPr="00F321D2" w:rsidRDefault="00BD1959" w:rsidP="003E6844">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321D2">
              <w:rPr>
                <w:rFonts w:cstheme="minorHAnsi"/>
                <w:sz w:val="18"/>
                <w:szCs w:val="20"/>
                <w:lang w:val="en-GB"/>
              </w:rPr>
              <w:t>It means the value of 1</w:t>
            </w:r>
            <w:r w:rsidR="003E6844">
              <w:rPr>
                <w:rFonts w:cstheme="minorHAnsi"/>
                <w:sz w:val="18"/>
                <w:szCs w:val="20"/>
                <w:lang w:val="en-GB"/>
              </w:rPr>
              <w:t xml:space="preserve"> </w:t>
            </w:r>
            <w:r w:rsidRPr="00F321D2">
              <w:rPr>
                <w:rFonts w:cstheme="minorHAnsi"/>
                <w:sz w:val="18"/>
                <w:szCs w:val="20"/>
                <w:lang w:val="en-GB"/>
              </w:rPr>
              <w:t>MWh of electric</w:t>
            </w:r>
            <w:r w:rsidR="003E6844">
              <w:rPr>
                <w:rFonts w:cstheme="minorHAnsi"/>
                <w:sz w:val="18"/>
                <w:szCs w:val="20"/>
                <w:lang w:val="en-GB"/>
              </w:rPr>
              <w:t>ity energy</w:t>
            </w:r>
            <w:r w:rsidRPr="00F321D2">
              <w:rPr>
                <w:rFonts w:cstheme="minorHAnsi"/>
                <w:sz w:val="18"/>
                <w:szCs w:val="20"/>
                <w:lang w:val="en-GB"/>
              </w:rPr>
              <w:t xml:space="preserve"> in Turkish Lira (TRY). It is expressed as two digits following the comma (kurush).  The tick size (minimum price increment) is TRY 0,01.   </w:t>
            </w:r>
          </w:p>
        </w:tc>
      </w:tr>
      <w:tr w:rsidR="00AC0D85" w:rsidRPr="00F321D2"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F321D2" w:rsidRDefault="00DA2001" w:rsidP="00DA2001">
            <w:pPr>
              <w:spacing w:after="200" w:line="276" w:lineRule="auto"/>
              <w:rPr>
                <w:rFonts w:cstheme="minorHAnsi"/>
                <w:sz w:val="18"/>
                <w:szCs w:val="20"/>
                <w:lang w:val="en-GB"/>
              </w:rPr>
            </w:pPr>
            <w:r w:rsidRPr="00F321D2">
              <w:rPr>
                <w:rFonts w:cstheme="minorHAnsi"/>
                <w:sz w:val="18"/>
                <w:szCs w:val="20"/>
                <w:lang w:val="en-GB"/>
              </w:rPr>
              <w:t>Collateral Reference Price (CRP)</w:t>
            </w:r>
          </w:p>
        </w:tc>
        <w:tc>
          <w:tcPr>
            <w:tcW w:w="6673" w:type="dxa"/>
          </w:tcPr>
          <w:p w:rsidR="00AC0D85" w:rsidRPr="00F321D2" w:rsidRDefault="00DA2001" w:rsidP="00DA2001">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321D2">
              <w:rPr>
                <w:rFonts w:cstheme="minorHAnsi"/>
                <w:sz w:val="18"/>
                <w:szCs w:val="20"/>
                <w:lang w:val="en-GB"/>
              </w:rPr>
              <w:t>For the balance of month contracts, it is used as the opening price, as well as for the calculation of physical delivery collateral</w:t>
            </w:r>
            <w:r w:rsidR="00AC0D85" w:rsidRPr="00F321D2">
              <w:rPr>
                <w:rFonts w:cstheme="minorHAnsi"/>
                <w:sz w:val="18"/>
                <w:szCs w:val="20"/>
                <w:lang w:val="en-GB"/>
              </w:rPr>
              <w:t xml:space="preserve">. </w:t>
            </w:r>
          </w:p>
          <w:p w:rsidR="00AC0D85" w:rsidRPr="00F321D2" w:rsidRDefault="0060521C" w:rsidP="001B7D51">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321D2">
              <w:rPr>
                <w:rFonts w:cstheme="minorHAnsi"/>
                <w:sz w:val="18"/>
                <w:szCs w:val="20"/>
                <w:lang w:val="en-GB"/>
              </w:rPr>
              <w:t xml:space="preserve">CRP is calculated taking into account the last Daily </w:t>
            </w:r>
            <w:r w:rsidR="003E6844">
              <w:rPr>
                <w:rFonts w:cstheme="minorHAnsi"/>
                <w:sz w:val="18"/>
                <w:szCs w:val="20"/>
                <w:lang w:val="en-GB"/>
              </w:rPr>
              <w:t>Index</w:t>
            </w:r>
            <w:r w:rsidRPr="00F321D2">
              <w:rPr>
                <w:rFonts w:cstheme="minorHAnsi"/>
                <w:sz w:val="18"/>
                <w:szCs w:val="20"/>
                <w:lang w:val="en-GB"/>
              </w:rPr>
              <w:t xml:space="preserve"> Price (DIP) of the relevant </w:t>
            </w:r>
            <w:r w:rsidR="00A22DA1" w:rsidRPr="00F321D2">
              <w:rPr>
                <w:rFonts w:cstheme="minorHAnsi"/>
                <w:sz w:val="18"/>
                <w:szCs w:val="20"/>
                <w:lang w:val="en-GB"/>
              </w:rPr>
              <w:t>month contract and the market clearing prices calculated i</w:t>
            </w:r>
            <w:r w:rsidR="001B7D51" w:rsidRPr="00F321D2">
              <w:rPr>
                <w:rFonts w:cstheme="minorHAnsi"/>
                <w:sz w:val="18"/>
                <w:szCs w:val="20"/>
                <w:lang w:val="en-GB"/>
              </w:rPr>
              <w:t>n the relevant delivery period</w:t>
            </w:r>
            <w:r w:rsidR="00AC0D85" w:rsidRPr="00F321D2">
              <w:rPr>
                <w:rFonts w:cstheme="minorHAnsi"/>
                <w:sz w:val="18"/>
                <w:szCs w:val="20"/>
                <w:lang w:val="en-GB"/>
              </w:rPr>
              <w:t>.</w:t>
            </w:r>
          </w:p>
          <w:p w:rsidR="00AC0D85" w:rsidRPr="00F321D2" w:rsidRDefault="003E6844" w:rsidP="001B7D51">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Pr>
                <w:rFonts w:cstheme="minorHAnsi"/>
                <w:sz w:val="18"/>
                <w:szCs w:val="20"/>
                <w:lang w:val="en-GB"/>
              </w:rPr>
              <w:t>No basis</w:t>
            </w:r>
            <w:r w:rsidR="001B7D51" w:rsidRPr="00F321D2">
              <w:rPr>
                <w:rFonts w:cstheme="minorHAnsi"/>
                <w:sz w:val="18"/>
                <w:szCs w:val="20"/>
                <w:lang w:val="en-GB"/>
              </w:rPr>
              <w:t xml:space="preserve"> price is calculated for the balance of month (BOM) contracts. The most recent CRP (Collateral Reference Price) is used as the opening price of BOM contracts</w:t>
            </w:r>
            <w:r w:rsidR="00AC0D85" w:rsidRPr="00F321D2">
              <w:rPr>
                <w:rFonts w:cstheme="minorHAnsi"/>
                <w:sz w:val="18"/>
                <w:szCs w:val="20"/>
                <w:lang w:val="en-GB"/>
              </w:rPr>
              <w:t>.</w:t>
            </w:r>
          </w:p>
        </w:tc>
      </w:tr>
      <w:tr w:rsidR="00AC0D85" w:rsidRPr="00F321D2"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F321D2" w:rsidRDefault="00ED5638" w:rsidP="00FF4C15">
            <w:pPr>
              <w:spacing w:after="200" w:line="276" w:lineRule="auto"/>
              <w:jc w:val="both"/>
              <w:rPr>
                <w:rFonts w:cstheme="minorHAnsi"/>
                <w:sz w:val="18"/>
                <w:szCs w:val="20"/>
                <w:lang w:val="en-GB"/>
              </w:rPr>
            </w:pPr>
            <w:r w:rsidRPr="00F321D2">
              <w:rPr>
                <w:rFonts w:cstheme="minorHAnsi"/>
                <w:sz w:val="18"/>
                <w:szCs w:val="20"/>
                <w:lang w:val="en-GB"/>
              </w:rPr>
              <w:t xml:space="preserve">Delivery Period </w:t>
            </w:r>
          </w:p>
        </w:tc>
        <w:tc>
          <w:tcPr>
            <w:tcW w:w="6673" w:type="dxa"/>
          </w:tcPr>
          <w:p w:rsidR="00AC0D85" w:rsidRPr="00F321D2" w:rsidRDefault="009E49DD" w:rsidP="00CA314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321D2">
              <w:rPr>
                <w:rFonts w:cstheme="minorHAnsi"/>
                <w:sz w:val="18"/>
                <w:szCs w:val="20"/>
                <w:lang w:val="en-GB"/>
              </w:rPr>
              <w:t xml:space="preserve">From 00.00 hrs on the second day following the business day on which the relevant Balance of Month (BOM) contract was open for trading to 23.59 hrs on the last day of relevant month. Every day, one balance of month contract for the month covered by the physical delivery period is opened for </w:t>
            </w:r>
            <w:r w:rsidR="00CA314E" w:rsidRPr="00F321D2">
              <w:rPr>
                <w:rFonts w:cstheme="minorHAnsi"/>
                <w:sz w:val="18"/>
                <w:szCs w:val="20"/>
                <w:lang w:val="en-GB"/>
              </w:rPr>
              <w:t>trading</w:t>
            </w:r>
            <w:r w:rsidR="00AC0D85" w:rsidRPr="00F321D2">
              <w:rPr>
                <w:rFonts w:cstheme="minorHAnsi"/>
                <w:sz w:val="18"/>
                <w:szCs w:val="20"/>
                <w:lang w:val="en-GB"/>
              </w:rPr>
              <w:t>.</w:t>
            </w:r>
          </w:p>
        </w:tc>
      </w:tr>
      <w:tr w:rsidR="00AC0D85" w:rsidRPr="00F321D2"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F321D2" w:rsidRDefault="00194FF7" w:rsidP="00FF4C15">
            <w:pPr>
              <w:spacing w:after="200" w:line="276" w:lineRule="auto"/>
              <w:jc w:val="both"/>
              <w:rPr>
                <w:rFonts w:cstheme="minorHAnsi"/>
                <w:sz w:val="18"/>
                <w:szCs w:val="20"/>
                <w:lang w:val="en-GB"/>
              </w:rPr>
            </w:pPr>
            <w:r w:rsidRPr="00F321D2">
              <w:rPr>
                <w:rFonts w:cstheme="minorHAnsi"/>
                <w:sz w:val="18"/>
                <w:szCs w:val="20"/>
                <w:lang w:val="en-GB"/>
              </w:rPr>
              <w:t>Last Trading Day</w:t>
            </w:r>
          </w:p>
        </w:tc>
        <w:tc>
          <w:tcPr>
            <w:tcW w:w="6673" w:type="dxa"/>
          </w:tcPr>
          <w:p w:rsidR="00AC0D85" w:rsidRPr="00F321D2" w:rsidRDefault="00194FF7" w:rsidP="003E6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321D2">
              <w:rPr>
                <w:rFonts w:cstheme="minorHAnsi"/>
                <w:sz w:val="18"/>
                <w:szCs w:val="20"/>
                <w:lang w:val="en-GB"/>
              </w:rPr>
              <w:t xml:space="preserve">Balance of month contracts are only open for trading on trading days, and the maximum number of balance of month contracts opened for trading shall only be one. </w:t>
            </w:r>
            <w:r w:rsidR="004B17E8" w:rsidRPr="00F321D2">
              <w:rPr>
                <w:rFonts w:cstheme="minorHAnsi"/>
                <w:sz w:val="18"/>
                <w:szCs w:val="20"/>
                <w:lang w:val="en-GB"/>
              </w:rPr>
              <w:t xml:space="preserve">The created contract </w:t>
            </w:r>
            <w:r w:rsidR="003E6844">
              <w:rPr>
                <w:rFonts w:cstheme="minorHAnsi"/>
                <w:sz w:val="18"/>
                <w:szCs w:val="20"/>
                <w:lang w:val="en-GB"/>
              </w:rPr>
              <w:t>are</w:t>
            </w:r>
            <w:r w:rsidR="004B17E8" w:rsidRPr="00F321D2">
              <w:rPr>
                <w:rFonts w:cstheme="minorHAnsi"/>
                <w:sz w:val="18"/>
                <w:szCs w:val="20"/>
                <w:lang w:val="en-GB"/>
              </w:rPr>
              <w:t xml:space="preserve"> closed in the end of the </w:t>
            </w:r>
            <w:r w:rsidR="003E6844">
              <w:rPr>
                <w:rFonts w:cstheme="minorHAnsi"/>
                <w:sz w:val="18"/>
                <w:szCs w:val="20"/>
                <w:lang w:val="en-GB"/>
              </w:rPr>
              <w:t>seance on</w:t>
            </w:r>
            <w:r w:rsidR="004B17E8" w:rsidRPr="00F321D2">
              <w:rPr>
                <w:rFonts w:cstheme="minorHAnsi"/>
                <w:sz w:val="18"/>
                <w:szCs w:val="20"/>
                <w:lang w:val="en-GB"/>
              </w:rPr>
              <w:t xml:space="preserve"> the same day. Trading continues till the end of trading</w:t>
            </w:r>
            <w:r w:rsidR="003E6844">
              <w:rPr>
                <w:rFonts w:cstheme="minorHAnsi"/>
                <w:sz w:val="18"/>
                <w:szCs w:val="20"/>
                <w:lang w:val="en-GB"/>
              </w:rPr>
              <w:t xml:space="preserve"> hours</w:t>
            </w:r>
            <w:r w:rsidR="004B17E8" w:rsidRPr="00F321D2">
              <w:rPr>
                <w:rFonts w:cstheme="minorHAnsi"/>
                <w:sz w:val="18"/>
                <w:szCs w:val="20"/>
                <w:lang w:val="en-GB"/>
              </w:rPr>
              <w:t xml:space="preserve"> on the last trading day</w:t>
            </w:r>
            <w:r w:rsidR="00AC0D85" w:rsidRPr="00F321D2">
              <w:rPr>
                <w:rFonts w:cstheme="minorHAnsi"/>
                <w:sz w:val="18"/>
                <w:szCs w:val="20"/>
                <w:lang w:val="en-GB"/>
              </w:rPr>
              <w:t xml:space="preserve">. </w:t>
            </w:r>
          </w:p>
        </w:tc>
      </w:tr>
      <w:tr w:rsidR="00AC0D85" w:rsidRPr="00F321D2"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F321D2" w:rsidRDefault="004B17E8" w:rsidP="00FF4C15">
            <w:pPr>
              <w:spacing w:after="200" w:line="276" w:lineRule="auto"/>
              <w:jc w:val="both"/>
              <w:rPr>
                <w:rFonts w:cstheme="minorHAnsi"/>
                <w:sz w:val="18"/>
                <w:szCs w:val="20"/>
                <w:lang w:val="en-GB"/>
              </w:rPr>
            </w:pPr>
            <w:r w:rsidRPr="00F321D2">
              <w:rPr>
                <w:rFonts w:cstheme="minorHAnsi"/>
                <w:sz w:val="18"/>
                <w:szCs w:val="20"/>
                <w:lang w:val="en-GB"/>
              </w:rPr>
              <w:lastRenderedPageBreak/>
              <w:t xml:space="preserve">Trading Hours </w:t>
            </w:r>
          </w:p>
        </w:tc>
        <w:tc>
          <w:tcPr>
            <w:tcW w:w="6673" w:type="dxa"/>
          </w:tcPr>
          <w:p w:rsidR="00AC0D85" w:rsidRPr="00F321D2" w:rsidRDefault="003A1B35" w:rsidP="003E6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321D2">
              <w:rPr>
                <w:rFonts w:cstheme="minorHAnsi"/>
                <w:sz w:val="18"/>
                <w:szCs w:val="20"/>
                <w:lang w:val="en-GB"/>
              </w:rPr>
              <w:t xml:space="preserve">Once the relevant balance of month contract is </w:t>
            </w:r>
            <w:r w:rsidR="003E6844">
              <w:rPr>
                <w:rFonts w:cstheme="minorHAnsi"/>
                <w:sz w:val="18"/>
                <w:szCs w:val="20"/>
                <w:lang w:val="en-GB"/>
              </w:rPr>
              <w:t>opened</w:t>
            </w:r>
            <w:r w:rsidRPr="00F321D2">
              <w:rPr>
                <w:rFonts w:cstheme="minorHAnsi"/>
                <w:sz w:val="18"/>
                <w:szCs w:val="20"/>
                <w:lang w:val="en-GB"/>
              </w:rPr>
              <w:t xml:space="preserve"> for trading, it can be traded until the end of the last trading day.  Trading hours shall start at 13:00 and </w:t>
            </w:r>
            <w:r w:rsidR="003E6844">
              <w:rPr>
                <w:rFonts w:cstheme="minorHAnsi"/>
                <w:sz w:val="18"/>
                <w:szCs w:val="20"/>
                <w:lang w:val="en-GB"/>
              </w:rPr>
              <w:t>end</w:t>
            </w:r>
            <w:r w:rsidRPr="00F321D2">
              <w:rPr>
                <w:rFonts w:cstheme="minorHAnsi"/>
                <w:sz w:val="18"/>
                <w:szCs w:val="20"/>
                <w:lang w:val="en-GB"/>
              </w:rPr>
              <w:t xml:space="preserve"> at 16:00 on each business day (excluding half business days)</w:t>
            </w:r>
            <w:r w:rsidR="00AC0D85" w:rsidRPr="00F321D2">
              <w:rPr>
                <w:rFonts w:cstheme="minorHAnsi"/>
                <w:sz w:val="18"/>
                <w:szCs w:val="20"/>
                <w:lang w:val="en-GB"/>
              </w:rPr>
              <w:t>.</w:t>
            </w:r>
          </w:p>
        </w:tc>
      </w:tr>
      <w:tr w:rsidR="00AC0D85" w:rsidRPr="00F321D2" w:rsidTr="00FF4C15">
        <w:tc>
          <w:tcPr>
            <w:cnfStyle w:val="001000000000" w:firstRow="0" w:lastRow="0" w:firstColumn="1" w:lastColumn="0" w:oddVBand="0" w:evenVBand="0" w:oddHBand="0" w:evenHBand="0" w:firstRowFirstColumn="0" w:firstRowLastColumn="0" w:lastRowFirstColumn="0" w:lastRowLastColumn="0"/>
            <w:tcW w:w="2502" w:type="dxa"/>
          </w:tcPr>
          <w:p w:rsidR="00AC0D85" w:rsidRPr="00F321D2" w:rsidRDefault="003A1B35" w:rsidP="00FF4C15">
            <w:pPr>
              <w:spacing w:after="200" w:line="276" w:lineRule="auto"/>
              <w:jc w:val="both"/>
              <w:rPr>
                <w:rFonts w:cstheme="minorHAnsi"/>
                <w:sz w:val="18"/>
                <w:szCs w:val="20"/>
                <w:lang w:val="en-GB"/>
              </w:rPr>
            </w:pPr>
            <w:r w:rsidRPr="00F321D2">
              <w:rPr>
                <w:rFonts w:cstheme="minorHAnsi"/>
                <w:sz w:val="18"/>
                <w:szCs w:val="20"/>
                <w:lang w:val="en-GB"/>
              </w:rPr>
              <w:t xml:space="preserve">Trading Method </w:t>
            </w:r>
          </w:p>
        </w:tc>
        <w:tc>
          <w:tcPr>
            <w:tcW w:w="6673" w:type="dxa"/>
          </w:tcPr>
          <w:p w:rsidR="00AC0D85" w:rsidRPr="00F321D2" w:rsidRDefault="0071389F" w:rsidP="003E68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321D2">
              <w:rPr>
                <w:rFonts w:cstheme="minorHAnsi"/>
                <w:sz w:val="18"/>
                <w:szCs w:val="20"/>
                <w:lang w:val="en-GB"/>
              </w:rPr>
              <w:t xml:space="preserve">Power Futures Market is a market that operates according to the continuous trading method. In the Physical Power Futures Market, </w:t>
            </w:r>
            <w:r w:rsidR="003E6844">
              <w:rPr>
                <w:rFonts w:cstheme="minorHAnsi"/>
                <w:sz w:val="18"/>
                <w:szCs w:val="20"/>
                <w:lang w:val="en-GB"/>
              </w:rPr>
              <w:t>orders</w:t>
            </w:r>
            <w:r w:rsidRPr="00F321D2">
              <w:rPr>
                <w:rFonts w:cstheme="minorHAnsi"/>
                <w:sz w:val="18"/>
                <w:szCs w:val="20"/>
                <w:lang w:val="en-GB"/>
              </w:rPr>
              <w:t xml:space="preserve"> can be entered, updated, cancelled or inactivated until 16:00 on the last trading day</w:t>
            </w:r>
            <w:r w:rsidR="00AC0D85" w:rsidRPr="00F321D2">
              <w:rPr>
                <w:rFonts w:cstheme="minorHAnsi"/>
                <w:sz w:val="18"/>
                <w:szCs w:val="20"/>
                <w:lang w:val="en-GB"/>
              </w:rPr>
              <w:t>.</w:t>
            </w:r>
          </w:p>
        </w:tc>
      </w:tr>
      <w:tr w:rsidR="003A1B35" w:rsidRPr="00F321D2" w:rsidTr="00FF4C15">
        <w:tc>
          <w:tcPr>
            <w:cnfStyle w:val="001000000000" w:firstRow="0" w:lastRow="0" w:firstColumn="1" w:lastColumn="0" w:oddVBand="0" w:evenVBand="0" w:oddHBand="0" w:evenHBand="0" w:firstRowFirstColumn="0" w:firstRowLastColumn="0" w:lastRowFirstColumn="0" w:lastRowLastColumn="0"/>
            <w:tcW w:w="2502" w:type="dxa"/>
          </w:tcPr>
          <w:p w:rsidR="003A1B35" w:rsidRPr="00F321D2" w:rsidRDefault="003A1B35" w:rsidP="00A30E1A">
            <w:pPr>
              <w:spacing w:after="160" w:line="276" w:lineRule="auto"/>
              <w:jc w:val="both"/>
              <w:rPr>
                <w:rFonts w:cstheme="minorHAnsi"/>
                <w:sz w:val="18"/>
                <w:szCs w:val="20"/>
                <w:lang w:val="en-GB"/>
              </w:rPr>
            </w:pPr>
            <w:r w:rsidRPr="00F321D2">
              <w:rPr>
                <w:rFonts w:cstheme="minorHAnsi"/>
                <w:sz w:val="18"/>
                <w:szCs w:val="20"/>
                <w:lang w:val="en-GB"/>
              </w:rPr>
              <w:t xml:space="preserve">Settlement Method </w:t>
            </w:r>
          </w:p>
        </w:tc>
        <w:tc>
          <w:tcPr>
            <w:tcW w:w="6673" w:type="dxa"/>
          </w:tcPr>
          <w:p w:rsidR="003A1B35" w:rsidRPr="00F321D2" w:rsidRDefault="000E4504" w:rsidP="008C43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321D2">
              <w:rPr>
                <w:rFonts w:cstheme="minorHAnsi"/>
                <w:sz w:val="18"/>
                <w:szCs w:val="20"/>
                <w:lang w:val="en-GB"/>
              </w:rPr>
              <w:t xml:space="preserve">Physical Delivery. Such quantity of the </w:t>
            </w:r>
            <w:r w:rsidR="003E6844">
              <w:rPr>
                <w:rFonts w:cstheme="minorHAnsi"/>
                <w:sz w:val="18"/>
                <w:szCs w:val="20"/>
                <w:lang w:val="en-GB"/>
              </w:rPr>
              <w:t>energy</w:t>
            </w:r>
            <w:r w:rsidRPr="00F321D2">
              <w:rPr>
                <w:rFonts w:cstheme="minorHAnsi"/>
                <w:sz w:val="18"/>
                <w:szCs w:val="20"/>
                <w:lang w:val="en-GB"/>
              </w:rPr>
              <w:t xml:space="preserve"> as agreed under the contact shall be supplied/delivered to the relevant bid</w:t>
            </w:r>
            <w:r w:rsidR="003E6844">
              <w:rPr>
                <w:rFonts w:cstheme="minorHAnsi"/>
                <w:sz w:val="18"/>
                <w:szCs w:val="20"/>
                <w:lang w:val="en-GB"/>
              </w:rPr>
              <w:t>ding zone</w:t>
            </w:r>
            <w:r w:rsidRPr="00F321D2">
              <w:rPr>
                <w:rFonts w:cstheme="minorHAnsi"/>
                <w:sz w:val="18"/>
                <w:szCs w:val="20"/>
                <w:lang w:val="en-GB"/>
              </w:rPr>
              <w:t xml:space="preserve"> by the seller party of the contract (short position holder) on an uninterrupted basis and every hour throughout the delivery period. Such quantity of the </w:t>
            </w:r>
            <w:r w:rsidR="003E6844">
              <w:rPr>
                <w:rFonts w:cstheme="minorHAnsi"/>
                <w:sz w:val="18"/>
                <w:szCs w:val="20"/>
                <w:lang w:val="en-GB"/>
              </w:rPr>
              <w:t>energy</w:t>
            </w:r>
            <w:r w:rsidRPr="00F321D2">
              <w:rPr>
                <w:rFonts w:cstheme="minorHAnsi"/>
                <w:sz w:val="18"/>
                <w:szCs w:val="20"/>
                <w:lang w:val="en-GB"/>
              </w:rPr>
              <w:t xml:space="preserve"> as agreed under the contact shall be drawn/received in relevant bid</w:t>
            </w:r>
            <w:r w:rsidR="008C4344">
              <w:rPr>
                <w:rFonts w:cstheme="minorHAnsi"/>
                <w:sz w:val="18"/>
                <w:szCs w:val="20"/>
                <w:lang w:val="en-GB"/>
              </w:rPr>
              <w:t>ding zone</w:t>
            </w:r>
            <w:r w:rsidRPr="00F321D2">
              <w:rPr>
                <w:rFonts w:cstheme="minorHAnsi"/>
                <w:sz w:val="18"/>
                <w:szCs w:val="20"/>
                <w:lang w:val="en-GB"/>
              </w:rPr>
              <w:t xml:space="preserve"> by the buyer party of the contact (long position holder) on an uninterrupted basis and every hour throughout the delivery period</w:t>
            </w:r>
            <w:r w:rsidR="003A1B35" w:rsidRPr="00F321D2">
              <w:rPr>
                <w:rFonts w:cstheme="minorHAnsi"/>
                <w:sz w:val="18"/>
                <w:szCs w:val="20"/>
                <w:lang w:val="en-GB"/>
              </w:rPr>
              <w:t>.</w:t>
            </w:r>
          </w:p>
        </w:tc>
      </w:tr>
      <w:tr w:rsidR="003A1B35" w:rsidRPr="00F321D2" w:rsidTr="00FF4C15">
        <w:tc>
          <w:tcPr>
            <w:cnfStyle w:val="001000000000" w:firstRow="0" w:lastRow="0" w:firstColumn="1" w:lastColumn="0" w:oddVBand="0" w:evenVBand="0" w:oddHBand="0" w:evenHBand="0" w:firstRowFirstColumn="0" w:firstRowLastColumn="0" w:lastRowFirstColumn="0" w:lastRowLastColumn="0"/>
            <w:tcW w:w="2502" w:type="dxa"/>
          </w:tcPr>
          <w:p w:rsidR="003A1B35" w:rsidRPr="00F321D2" w:rsidRDefault="003A1B35" w:rsidP="00A30E1A">
            <w:pPr>
              <w:spacing w:after="160" w:line="276" w:lineRule="auto"/>
              <w:jc w:val="both"/>
              <w:rPr>
                <w:rFonts w:cstheme="minorHAnsi"/>
                <w:sz w:val="18"/>
                <w:szCs w:val="20"/>
                <w:lang w:val="en-GB"/>
              </w:rPr>
            </w:pPr>
            <w:r w:rsidRPr="00F321D2">
              <w:rPr>
                <w:rFonts w:cstheme="minorHAnsi"/>
                <w:sz w:val="18"/>
                <w:szCs w:val="20"/>
                <w:lang w:val="en-GB"/>
              </w:rPr>
              <w:t xml:space="preserve">Position Limit </w:t>
            </w:r>
          </w:p>
        </w:tc>
        <w:tc>
          <w:tcPr>
            <w:tcW w:w="6673" w:type="dxa"/>
          </w:tcPr>
          <w:p w:rsidR="003A1B35" w:rsidRPr="00F321D2" w:rsidRDefault="002E6E3F" w:rsidP="00956DA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321D2">
              <w:rPr>
                <w:rFonts w:cstheme="minorHAnsi"/>
                <w:sz w:val="18"/>
                <w:szCs w:val="20"/>
                <w:lang w:val="en-GB"/>
              </w:rPr>
              <w:t xml:space="preserve">For calculating the market position limit, the market position limit </w:t>
            </w:r>
            <w:r w:rsidR="009C1B1B" w:rsidRPr="00F321D2">
              <w:rPr>
                <w:rFonts w:cstheme="minorHAnsi"/>
                <w:sz w:val="18"/>
                <w:szCs w:val="20"/>
                <w:lang w:val="en-GB"/>
              </w:rPr>
              <w:t>resulting from</w:t>
            </w:r>
            <w:r w:rsidRPr="00F321D2">
              <w:rPr>
                <w:rFonts w:cstheme="minorHAnsi"/>
                <w:sz w:val="18"/>
                <w:szCs w:val="20"/>
                <w:lang w:val="en-GB"/>
              </w:rPr>
              <w:t xml:space="preserve"> the cascading </w:t>
            </w:r>
            <w:r w:rsidR="00FD3241" w:rsidRPr="00F321D2">
              <w:rPr>
                <w:rFonts w:cstheme="minorHAnsi"/>
                <w:sz w:val="18"/>
                <w:szCs w:val="20"/>
                <w:lang w:val="en-GB"/>
              </w:rPr>
              <w:t xml:space="preserve">relating to </w:t>
            </w:r>
            <w:r w:rsidRPr="00F321D2">
              <w:rPr>
                <w:rFonts w:cstheme="minorHAnsi"/>
                <w:sz w:val="18"/>
                <w:szCs w:val="20"/>
                <w:lang w:val="en-GB"/>
              </w:rPr>
              <w:t xml:space="preserve">the month </w:t>
            </w:r>
            <w:r w:rsidR="00FD3241" w:rsidRPr="00F321D2">
              <w:rPr>
                <w:rFonts w:cstheme="minorHAnsi"/>
                <w:sz w:val="18"/>
                <w:szCs w:val="20"/>
                <w:lang w:val="en-GB"/>
              </w:rPr>
              <w:t xml:space="preserve">to </w:t>
            </w:r>
            <w:r w:rsidRPr="00F321D2">
              <w:rPr>
                <w:rFonts w:cstheme="minorHAnsi"/>
                <w:sz w:val="18"/>
                <w:szCs w:val="20"/>
                <w:lang w:val="en-GB"/>
              </w:rPr>
              <w:t xml:space="preserve">which the Balance of Month (BOM) contract </w:t>
            </w:r>
            <w:r w:rsidR="009C1B1B" w:rsidRPr="00F321D2">
              <w:rPr>
                <w:rFonts w:cstheme="minorHAnsi"/>
                <w:sz w:val="18"/>
                <w:szCs w:val="20"/>
                <w:lang w:val="en-GB"/>
              </w:rPr>
              <w:t>belongs shall be multiplied by</w:t>
            </w:r>
            <w:r w:rsidR="00D9516F" w:rsidRPr="00F321D2">
              <w:rPr>
                <w:rFonts w:cstheme="minorHAnsi"/>
                <w:sz w:val="18"/>
                <w:szCs w:val="20"/>
                <w:lang w:val="en-GB"/>
              </w:rPr>
              <w:t xml:space="preserve"> the ratio of the</w:t>
            </w:r>
            <w:r w:rsidR="009C1B1B" w:rsidRPr="00F321D2">
              <w:rPr>
                <w:rFonts w:cstheme="minorHAnsi"/>
                <w:sz w:val="18"/>
                <w:szCs w:val="20"/>
                <w:lang w:val="en-GB"/>
              </w:rPr>
              <w:t xml:space="preserve"> </w:t>
            </w:r>
            <w:r w:rsidR="00D9516F" w:rsidRPr="00F321D2">
              <w:rPr>
                <w:rFonts w:cstheme="minorHAnsi"/>
                <w:sz w:val="18"/>
                <w:szCs w:val="20"/>
                <w:lang w:val="en-GB"/>
              </w:rPr>
              <w:t xml:space="preserve">number of delivery days of </w:t>
            </w:r>
            <w:r w:rsidR="00205C79" w:rsidRPr="00F321D2">
              <w:rPr>
                <w:rFonts w:cstheme="minorHAnsi"/>
                <w:sz w:val="18"/>
                <w:szCs w:val="20"/>
                <w:lang w:val="en-GB"/>
              </w:rPr>
              <w:t xml:space="preserve">relevant Balance of Month (BOM) contract to the number of delivery days in the relevant month. </w:t>
            </w:r>
            <w:r w:rsidR="00956DAF" w:rsidRPr="00F321D2">
              <w:rPr>
                <w:rFonts w:cstheme="minorHAnsi"/>
                <w:sz w:val="18"/>
                <w:szCs w:val="20"/>
                <w:lang w:val="en-GB"/>
              </w:rPr>
              <w:t>Participant position limits shall be calculated as follows: the position limit determined for each participant for the relevant month shall be multiplied by the ratio calculated in the previous step</w:t>
            </w:r>
            <w:r w:rsidR="003A1B35" w:rsidRPr="00F321D2">
              <w:rPr>
                <w:rFonts w:cstheme="minorHAnsi"/>
                <w:sz w:val="18"/>
                <w:szCs w:val="20"/>
                <w:lang w:val="en-GB"/>
              </w:rPr>
              <w:t>.</w:t>
            </w:r>
          </w:p>
        </w:tc>
      </w:tr>
      <w:tr w:rsidR="003A1B35" w:rsidRPr="00F321D2" w:rsidTr="00FF4C15">
        <w:tc>
          <w:tcPr>
            <w:cnfStyle w:val="001000000000" w:firstRow="0" w:lastRow="0" w:firstColumn="1" w:lastColumn="0" w:oddVBand="0" w:evenVBand="0" w:oddHBand="0" w:evenHBand="0" w:firstRowFirstColumn="0" w:firstRowLastColumn="0" w:lastRowFirstColumn="0" w:lastRowLastColumn="0"/>
            <w:tcW w:w="2502" w:type="dxa"/>
          </w:tcPr>
          <w:p w:rsidR="003A1B35" w:rsidRPr="00F321D2" w:rsidRDefault="003A1B35" w:rsidP="00A30E1A">
            <w:pPr>
              <w:spacing w:after="160" w:line="276" w:lineRule="auto"/>
              <w:jc w:val="both"/>
              <w:rPr>
                <w:rFonts w:cstheme="minorHAnsi"/>
                <w:sz w:val="18"/>
                <w:szCs w:val="20"/>
                <w:lang w:val="en-GB"/>
              </w:rPr>
            </w:pPr>
            <w:r w:rsidRPr="00F321D2">
              <w:rPr>
                <w:rFonts w:cstheme="minorHAnsi"/>
                <w:sz w:val="18"/>
                <w:szCs w:val="20"/>
                <w:lang w:val="en-GB"/>
              </w:rPr>
              <w:t xml:space="preserve">Payments </w:t>
            </w:r>
          </w:p>
        </w:tc>
        <w:tc>
          <w:tcPr>
            <w:tcW w:w="6673" w:type="dxa"/>
          </w:tcPr>
          <w:p w:rsidR="003A1B35" w:rsidRPr="00F321D2" w:rsidRDefault="00B801EF" w:rsidP="008C434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321D2">
              <w:rPr>
                <w:rFonts w:cstheme="minorHAnsi"/>
                <w:sz w:val="18"/>
                <w:szCs w:val="20"/>
                <w:lang w:val="en-GB"/>
              </w:rPr>
              <w:t>Payments shall be made on a monthly basis and in the month following the delivery period. At each hour of each day of the delivery/maturity month,  electric</w:t>
            </w:r>
            <w:r w:rsidR="008C4344">
              <w:rPr>
                <w:rFonts w:cstheme="minorHAnsi"/>
                <w:sz w:val="18"/>
                <w:szCs w:val="20"/>
                <w:lang w:val="en-GB"/>
              </w:rPr>
              <w:t>ity</w:t>
            </w:r>
            <w:r w:rsidRPr="00F321D2">
              <w:rPr>
                <w:rFonts w:cstheme="minorHAnsi"/>
                <w:sz w:val="18"/>
                <w:szCs w:val="20"/>
                <w:lang w:val="en-GB"/>
              </w:rPr>
              <w:t xml:space="preserve"> </w:t>
            </w:r>
            <w:r w:rsidR="008C4344">
              <w:rPr>
                <w:rFonts w:cstheme="minorHAnsi"/>
                <w:sz w:val="18"/>
                <w:szCs w:val="20"/>
                <w:lang w:val="en-GB"/>
              </w:rPr>
              <w:t>energy</w:t>
            </w:r>
            <w:r w:rsidRPr="00F321D2">
              <w:rPr>
                <w:rFonts w:cstheme="minorHAnsi"/>
                <w:sz w:val="18"/>
                <w:szCs w:val="20"/>
                <w:lang w:val="en-GB"/>
              </w:rPr>
              <w:t xml:space="preserve"> supply and drawing as much as the </w:t>
            </w:r>
            <w:r w:rsidR="008C4344">
              <w:rPr>
                <w:rFonts w:cstheme="minorHAnsi"/>
                <w:sz w:val="18"/>
                <w:szCs w:val="20"/>
                <w:lang w:val="en-GB"/>
              </w:rPr>
              <w:t>matching quantity</w:t>
            </w:r>
            <w:r w:rsidRPr="00F321D2">
              <w:rPr>
                <w:rFonts w:cstheme="minorHAnsi"/>
                <w:sz w:val="18"/>
                <w:szCs w:val="20"/>
                <w:lang w:val="en-GB"/>
              </w:rPr>
              <w:t xml:space="preserve"> shall take place. Long position holder market participant shall, for the balance of month delivery period, pay the market operator the amount calculated as follows: number of days in the delivery period x 24 hours x matching price (Turkish Li</w:t>
            </w:r>
            <w:r w:rsidR="008C4344">
              <w:rPr>
                <w:rFonts w:cstheme="minorHAnsi"/>
                <w:sz w:val="18"/>
                <w:szCs w:val="20"/>
                <w:lang w:val="en-GB"/>
              </w:rPr>
              <w:t>ra/MWh) x matching quantity (MW</w:t>
            </w:r>
            <w:bookmarkStart w:id="2" w:name="_GoBack"/>
            <w:bookmarkEnd w:id="2"/>
            <w:r w:rsidRPr="00F321D2">
              <w:rPr>
                <w:rFonts w:cstheme="minorHAnsi"/>
                <w:sz w:val="18"/>
                <w:szCs w:val="20"/>
                <w:lang w:val="en-GB"/>
              </w:rPr>
              <w:t>). Market operator shall pay the amount it collects from the long position holder market participant to the short position holder market participant</w:t>
            </w:r>
            <w:r w:rsidR="003A1B35" w:rsidRPr="00F321D2">
              <w:rPr>
                <w:rFonts w:cstheme="minorHAnsi"/>
                <w:sz w:val="18"/>
                <w:szCs w:val="20"/>
                <w:lang w:val="en-GB"/>
              </w:rPr>
              <w:t>.</w:t>
            </w:r>
          </w:p>
        </w:tc>
      </w:tr>
      <w:tr w:rsidR="003A1B35" w:rsidRPr="00F321D2" w:rsidTr="00FF4C15">
        <w:tc>
          <w:tcPr>
            <w:cnfStyle w:val="001000000000" w:firstRow="0" w:lastRow="0" w:firstColumn="1" w:lastColumn="0" w:oddVBand="0" w:evenVBand="0" w:oddHBand="0" w:evenHBand="0" w:firstRowFirstColumn="0" w:firstRowLastColumn="0" w:lastRowFirstColumn="0" w:lastRowLastColumn="0"/>
            <w:tcW w:w="2502" w:type="dxa"/>
          </w:tcPr>
          <w:p w:rsidR="003A1B35" w:rsidRPr="00F321D2" w:rsidRDefault="003A1B35" w:rsidP="00A30E1A">
            <w:pPr>
              <w:spacing w:after="160" w:line="276" w:lineRule="auto"/>
              <w:jc w:val="both"/>
              <w:rPr>
                <w:rFonts w:cstheme="minorHAnsi"/>
                <w:sz w:val="18"/>
                <w:szCs w:val="20"/>
                <w:lang w:val="en-GB"/>
              </w:rPr>
            </w:pPr>
            <w:r w:rsidRPr="00F321D2">
              <w:rPr>
                <w:rFonts w:cstheme="minorHAnsi"/>
                <w:sz w:val="18"/>
                <w:szCs w:val="20"/>
                <w:lang w:val="en-GB"/>
              </w:rPr>
              <w:t xml:space="preserve">Collateral Regulations </w:t>
            </w:r>
          </w:p>
        </w:tc>
        <w:tc>
          <w:tcPr>
            <w:tcW w:w="6673" w:type="dxa"/>
          </w:tcPr>
          <w:p w:rsidR="003A1B35" w:rsidRPr="00F321D2" w:rsidRDefault="00687685" w:rsidP="00FF4C1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F321D2">
              <w:rPr>
                <w:rFonts w:cstheme="minorHAnsi"/>
                <w:sz w:val="18"/>
                <w:szCs w:val="20"/>
                <w:lang w:val="en-GB"/>
              </w:rPr>
              <w:t>Balancing and Settlement Regulation (DUY), Power Futures Market Operating Rules and Procedures and the Power Futures Market Method shall be taken into account</w:t>
            </w:r>
            <w:r w:rsidR="003A1B35" w:rsidRPr="00F321D2">
              <w:rPr>
                <w:rFonts w:cstheme="minorHAnsi"/>
                <w:sz w:val="18"/>
                <w:szCs w:val="20"/>
                <w:lang w:val="en-GB"/>
              </w:rPr>
              <w:t xml:space="preserve">. </w:t>
            </w:r>
          </w:p>
        </w:tc>
      </w:tr>
    </w:tbl>
    <w:p w:rsidR="00722997" w:rsidRPr="00F321D2" w:rsidRDefault="00722997">
      <w:pPr>
        <w:rPr>
          <w:lang w:val="en-GB"/>
        </w:rPr>
      </w:pPr>
    </w:p>
    <w:sectPr w:rsidR="00722997" w:rsidRPr="00F321D2" w:rsidSect="003F488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9D4" w:rsidRDefault="00DE59D4" w:rsidP="00AC0D85">
      <w:pPr>
        <w:spacing w:after="0" w:line="240" w:lineRule="auto"/>
      </w:pPr>
      <w:r>
        <w:separator/>
      </w:r>
    </w:p>
  </w:endnote>
  <w:endnote w:type="continuationSeparator" w:id="0">
    <w:p w:rsidR="00DE59D4" w:rsidRDefault="00DE59D4" w:rsidP="00AC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9D4" w:rsidRDefault="00DE59D4" w:rsidP="00AC0D85">
      <w:pPr>
        <w:spacing w:after="0" w:line="240" w:lineRule="auto"/>
      </w:pPr>
      <w:r>
        <w:separator/>
      </w:r>
    </w:p>
  </w:footnote>
  <w:footnote w:type="continuationSeparator" w:id="0">
    <w:p w:rsidR="00DE59D4" w:rsidRDefault="00DE59D4" w:rsidP="00AC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5A" w:rsidRPr="003654CA" w:rsidRDefault="006A005A" w:rsidP="003654CA">
    <w:pPr>
      <w:pStyle w:val="Header"/>
      <w:rPr>
        <w:lang w:val="en-GB"/>
      </w:rPr>
    </w:pPr>
    <w:r w:rsidRPr="003654CA">
      <w:rPr>
        <w:noProof/>
        <w:lang w:eastAsia="tr-TR"/>
      </w:rPr>
      <w:drawing>
        <wp:inline distT="0" distB="0" distL="0" distR="0">
          <wp:extent cx="518160" cy="381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381000"/>
                  </a:xfrm>
                  <a:prstGeom prst="rect">
                    <a:avLst/>
                  </a:prstGeom>
                  <a:noFill/>
                  <a:ln>
                    <a:noFill/>
                  </a:ln>
                </pic:spPr>
              </pic:pic>
            </a:graphicData>
          </a:graphic>
        </wp:inline>
      </w:drawing>
    </w:r>
    <w:r w:rsidRPr="003654CA">
      <w:rPr>
        <w:lang w:val="en-GB"/>
      </w:rPr>
      <w:t xml:space="preserve">           </w:t>
    </w:r>
    <w:r w:rsidRPr="003654CA">
      <w:rPr>
        <w:lang w:val="en-GB"/>
      </w:rPr>
      <w:tab/>
    </w:r>
    <w:r w:rsidR="003654CA">
      <w:rPr>
        <w:rStyle w:val="Heading1Char"/>
        <w:lang w:val="en-GB"/>
      </w:rPr>
      <w:t>POWER FUTURES MARKET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84DC2"/>
    <w:multiLevelType w:val="multilevel"/>
    <w:tmpl w:val="B8F63A92"/>
    <w:lvl w:ilvl="0">
      <w:start w:val="1"/>
      <w:numFmt w:val="decimal"/>
      <w:pStyle w:val="Heading1"/>
      <w:lvlText w:val="%1"/>
      <w:lvlJc w:val="left"/>
      <w:pPr>
        <w:ind w:left="432" w:hanging="432"/>
      </w:pPr>
    </w:lvl>
    <w:lvl w:ilvl="1">
      <w:start w:val="1"/>
      <w:numFmt w:val="decimal"/>
      <w:pStyle w:val="Heading2"/>
      <w:lvlText w:val="%1.%2"/>
      <w:lvlJc w:val="left"/>
      <w:pPr>
        <w:ind w:left="796" w:hanging="576"/>
      </w:pPr>
    </w:lvl>
    <w:lvl w:ilvl="2">
      <w:start w:val="1"/>
      <w:numFmt w:val="decimal"/>
      <w:pStyle w:val="Heading3"/>
      <w:lvlText w:val="%1.%2.%3"/>
      <w:lvlJc w:val="left"/>
      <w:pPr>
        <w:ind w:left="861" w:hanging="720"/>
      </w:pPr>
    </w:lvl>
    <w:lvl w:ilvl="3">
      <w:start w:val="1"/>
      <w:numFmt w:val="lowerRoman"/>
      <w:lvlText w:val="%4."/>
      <w:lvlJc w:val="righ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2C"/>
    <w:rsid w:val="000867D8"/>
    <w:rsid w:val="00092052"/>
    <w:rsid w:val="000B393D"/>
    <w:rsid w:val="000E1C7A"/>
    <w:rsid w:val="000E4504"/>
    <w:rsid w:val="001320D4"/>
    <w:rsid w:val="00147CA5"/>
    <w:rsid w:val="00186B88"/>
    <w:rsid w:val="00194FF7"/>
    <w:rsid w:val="001B7D51"/>
    <w:rsid w:val="001F3E6A"/>
    <w:rsid w:val="00205C79"/>
    <w:rsid w:val="00223E43"/>
    <w:rsid w:val="002E6E3F"/>
    <w:rsid w:val="003065E6"/>
    <w:rsid w:val="00307394"/>
    <w:rsid w:val="0036292C"/>
    <w:rsid w:val="003654CA"/>
    <w:rsid w:val="003A1B35"/>
    <w:rsid w:val="003C4E0E"/>
    <w:rsid w:val="003E6844"/>
    <w:rsid w:val="003F4885"/>
    <w:rsid w:val="004B17E8"/>
    <w:rsid w:val="00514E54"/>
    <w:rsid w:val="0058662E"/>
    <w:rsid w:val="005A4C3E"/>
    <w:rsid w:val="005F03AB"/>
    <w:rsid w:val="0060521C"/>
    <w:rsid w:val="0065334D"/>
    <w:rsid w:val="00687685"/>
    <w:rsid w:val="006959B7"/>
    <w:rsid w:val="006A005A"/>
    <w:rsid w:val="006B7D0B"/>
    <w:rsid w:val="0071389F"/>
    <w:rsid w:val="00722997"/>
    <w:rsid w:val="008078F8"/>
    <w:rsid w:val="008469B2"/>
    <w:rsid w:val="00847489"/>
    <w:rsid w:val="00847F38"/>
    <w:rsid w:val="008545A0"/>
    <w:rsid w:val="00854F0A"/>
    <w:rsid w:val="008A3A61"/>
    <w:rsid w:val="008B180C"/>
    <w:rsid w:val="008C4344"/>
    <w:rsid w:val="008D6434"/>
    <w:rsid w:val="00931AA0"/>
    <w:rsid w:val="00956DAF"/>
    <w:rsid w:val="009919ED"/>
    <w:rsid w:val="009A0D44"/>
    <w:rsid w:val="009C1B1B"/>
    <w:rsid w:val="009E49DD"/>
    <w:rsid w:val="009F5D09"/>
    <w:rsid w:val="00A22DA1"/>
    <w:rsid w:val="00A30ED4"/>
    <w:rsid w:val="00A82282"/>
    <w:rsid w:val="00A855E1"/>
    <w:rsid w:val="00A97937"/>
    <w:rsid w:val="00AA3B16"/>
    <w:rsid w:val="00AC0D85"/>
    <w:rsid w:val="00AC6D16"/>
    <w:rsid w:val="00B40D54"/>
    <w:rsid w:val="00B801EF"/>
    <w:rsid w:val="00BD1959"/>
    <w:rsid w:val="00C073BF"/>
    <w:rsid w:val="00C530B2"/>
    <w:rsid w:val="00CA314E"/>
    <w:rsid w:val="00CB2890"/>
    <w:rsid w:val="00D61A6D"/>
    <w:rsid w:val="00D9516F"/>
    <w:rsid w:val="00DA2001"/>
    <w:rsid w:val="00DE59D4"/>
    <w:rsid w:val="00E60977"/>
    <w:rsid w:val="00E7363B"/>
    <w:rsid w:val="00E7594E"/>
    <w:rsid w:val="00E82622"/>
    <w:rsid w:val="00EA1557"/>
    <w:rsid w:val="00EB70AE"/>
    <w:rsid w:val="00EB7FCE"/>
    <w:rsid w:val="00ED5638"/>
    <w:rsid w:val="00EF3350"/>
    <w:rsid w:val="00F01596"/>
    <w:rsid w:val="00F321D2"/>
    <w:rsid w:val="00F73A16"/>
    <w:rsid w:val="00FD324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268D7FC"/>
  <w15:docId w15:val="{9D33A8D9-F573-48D3-8A00-4450FB64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D85"/>
  </w:style>
  <w:style w:type="paragraph" w:styleId="Heading1">
    <w:name w:val="heading 1"/>
    <w:basedOn w:val="Normal"/>
    <w:next w:val="Normal"/>
    <w:link w:val="Heading1Char"/>
    <w:uiPriority w:val="9"/>
    <w:qFormat/>
    <w:rsid w:val="00AC0D85"/>
    <w:pPr>
      <w:keepNext/>
      <w:keepLines/>
      <w:numPr>
        <w:numId w:val="1"/>
      </w:numPr>
      <w:spacing w:before="480" w:after="0" w:line="276" w:lineRule="auto"/>
      <w:outlineLvl w:val="0"/>
    </w:pPr>
    <w:rPr>
      <w:rFonts w:asciiTheme="majorHAnsi" w:eastAsiaTheme="majorEastAsia" w:hAnsiTheme="majorHAnsi" w:cstheme="majorBidi"/>
      <w:b/>
      <w:bCs/>
      <w:color w:val="2E74B5" w:themeColor="accent1" w:themeShade="BF"/>
      <w:sz w:val="28"/>
      <w:szCs w:val="28"/>
      <w:lang w:eastAsia="tr-TR"/>
    </w:rPr>
  </w:style>
  <w:style w:type="paragraph" w:styleId="Heading2">
    <w:name w:val="heading 2"/>
    <w:basedOn w:val="Normal"/>
    <w:next w:val="Normal"/>
    <w:link w:val="Heading2Char"/>
    <w:uiPriority w:val="9"/>
    <w:unhideWhenUsed/>
    <w:qFormat/>
    <w:rsid w:val="00AC0D85"/>
    <w:pPr>
      <w:keepNext/>
      <w:keepLines/>
      <w:numPr>
        <w:ilvl w:val="1"/>
        <w:numId w:val="1"/>
      </w:numPr>
      <w:spacing w:before="200" w:after="240" w:line="276" w:lineRule="auto"/>
      <w:outlineLvl w:val="1"/>
    </w:pPr>
    <w:rPr>
      <w:rFonts w:asciiTheme="majorHAnsi" w:eastAsiaTheme="majorEastAsia" w:hAnsiTheme="majorHAnsi" w:cstheme="majorBidi"/>
      <w:b/>
      <w:bCs/>
      <w:color w:val="5B9BD5" w:themeColor="accent1"/>
      <w:sz w:val="26"/>
      <w:szCs w:val="26"/>
      <w:lang w:eastAsia="tr-TR"/>
    </w:rPr>
  </w:style>
  <w:style w:type="paragraph" w:styleId="Heading3">
    <w:name w:val="heading 3"/>
    <w:basedOn w:val="Normal"/>
    <w:next w:val="Normal"/>
    <w:link w:val="Heading3Char"/>
    <w:uiPriority w:val="9"/>
    <w:unhideWhenUsed/>
    <w:qFormat/>
    <w:rsid w:val="00AC0D85"/>
    <w:pPr>
      <w:keepNext/>
      <w:keepLines/>
      <w:numPr>
        <w:ilvl w:val="2"/>
        <w:numId w:val="1"/>
      </w:numPr>
      <w:spacing w:before="200" w:after="240" w:line="276" w:lineRule="auto"/>
      <w:outlineLvl w:val="2"/>
    </w:pPr>
    <w:rPr>
      <w:rFonts w:asciiTheme="majorHAnsi" w:eastAsiaTheme="majorEastAsia" w:hAnsiTheme="majorHAnsi" w:cstheme="majorBidi"/>
      <w:b/>
      <w:bCs/>
      <w:color w:val="5B9BD5" w:themeColor="accent1"/>
      <w:lang w:eastAsia="tr-TR"/>
    </w:rPr>
  </w:style>
  <w:style w:type="paragraph" w:styleId="Heading5">
    <w:name w:val="heading 5"/>
    <w:basedOn w:val="Normal"/>
    <w:next w:val="Normal"/>
    <w:link w:val="Heading5Char"/>
    <w:uiPriority w:val="9"/>
    <w:unhideWhenUsed/>
    <w:qFormat/>
    <w:rsid w:val="00AC0D85"/>
    <w:pPr>
      <w:keepNext/>
      <w:keepLines/>
      <w:numPr>
        <w:ilvl w:val="4"/>
        <w:numId w:val="1"/>
      </w:numPr>
      <w:spacing w:before="200" w:after="0" w:line="276" w:lineRule="auto"/>
      <w:outlineLvl w:val="4"/>
    </w:pPr>
    <w:rPr>
      <w:rFonts w:asciiTheme="majorHAnsi" w:eastAsiaTheme="majorEastAsia" w:hAnsiTheme="majorHAnsi" w:cstheme="majorBidi"/>
      <w:color w:val="1F4D78" w:themeColor="accent1" w:themeShade="7F"/>
      <w:lang w:eastAsia="tr-TR"/>
    </w:rPr>
  </w:style>
  <w:style w:type="paragraph" w:styleId="Heading6">
    <w:name w:val="heading 6"/>
    <w:basedOn w:val="Normal"/>
    <w:next w:val="Normal"/>
    <w:link w:val="Heading6Char"/>
    <w:uiPriority w:val="9"/>
    <w:semiHidden/>
    <w:unhideWhenUsed/>
    <w:qFormat/>
    <w:rsid w:val="00AC0D85"/>
    <w:pPr>
      <w:keepNext/>
      <w:keepLines/>
      <w:numPr>
        <w:ilvl w:val="5"/>
        <w:numId w:val="1"/>
      </w:numPr>
      <w:spacing w:before="200" w:after="0" w:line="276" w:lineRule="auto"/>
      <w:outlineLvl w:val="5"/>
    </w:pPr>
    <w:rPr>
      <w:rFonts w:asciiTheme="majorHAnsi" w:eastAsiaTheme="majorEastAsia" w:hAnsiTheme="majorHAnsi" w:cstheme="majorBidi"/>
      <w:i/>
      <w:iCs/>
      <w:color w:val="1F4D78" w:themeColor="accent1" w:themeShade="7F"/>
      <w:lang w:eastAsia="tr-TR"/>
    </w:rPr>
  </w:style>
  <w:style w:type="paragraph" w:styleId="Heading7">
    <w:name w:val="heading 7"/>
    <w:basedOn w:val="Normal"/>
    <w:next w:val="Normal"/>
    <w:link w:val="Heading7Char"/>
    <w:uiPriority w:val="9"/>
    <w:semiHidden/>
    <w:unhideWhenUsed/>
    <w:qFormat/>
    <w:rsid w:val="00AC0D85"/>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lang w:eastAsia="tr-TR"/>
    </w:rPr>
  </w:style>
  <w:style w:type="paragraph" w:styleId="Heading8">
    <w:name w:val="heading 8"/>
    <w:basedOn w:val="Normal"/>
    <w:next w:val="Normal"/>
    <w:link w:val="Heading8Char"/>
    <w:uiPriority w:val="9"/>
    <w:semiHidden/>
    <w:unhideWhenUsed/>
    <w:qFormat/>
    <w:rsid w:val="00AC0D85"/>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lang w:eastAsia="tr-TR"/>
    </w:rPr>
  </w:style>
  <w:style w:type="paragraph" w:styleId="Heading9">
    <w:name w:val="heading 9"/>
    <w:basedOn w:val="Normal"/>
    <w:next w:val="Normal"/>
    <w:link w:val="Heading9Char"/>
    <w:uiPriority w:val="9"/>
    <w:semiHidden/>
    <w:unhideWhenUsed/>
    <w:qFormat/>
    <w:rsid w:val="00AC0D85"/>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D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0D85"/>
  </w:style>
  <w:style w:type="paragraph" w:styleId="Footer">
    <w:name w:val="footer"/>
    <w:basedOn w:val="Normal"/>
    <w:link w:val="FooterChar"/>
    <w:uiPriority w:val="99"/>
    <w:unhideWhenUsed/>
    <w:rsid w:val="00AC0D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0D85"/>
  </w:style>
  <w:style w:type="character" w:customStyle="1" w:styleId="Heading1Char">
    <w:name w:val="Heading 1 Char"/>
    <w:basedOn w:val="DefaultParagraphFont"/>
    <w:link w:val="Heading1"/>
    <w:uiPriority w:val="9"/>
    <w:rsid w:val="00AC0D85"/>
    <w:rPr>
      <w:rFonts w:asciiTheme="majorHAnsi" w:eastAsiaTheme="majorEastAsia" w:hAnsiTheme="majorHAnsi" w:cstheme="majorBidi"/>
      <w:b/>
      <w:bCs/>
      <w:color w:val="2E74B5" w:themeColor="accent1" w:themeShade="BF"/>
      <w:sz w:val="28"/>
      <w:szCs w:val="28"/>
      <w:lang w:eastAsia="tr-TR"/>
    </w:rPr>
  </w:style>
  <w:style w:type="character" w:customStyle="1" w:styleId="Heading2Char">
    <w:name w:val="Heading 2 Char"/>
    <w:basedOn w:val="DefaultParagraphFont"/>
    <w:link w:val="Heading2"/>
    <w:uiPriority w:val="9"/>
    <w:rsid w:val="00AC0D85"/>
    <w:rPr>
      <w:rFonts w:asciiTheme="majorHAnsi" w:eastAsiaTheme="majorEastAsia" w:hAnsiTheme="majorHAnsi" w:cstheme="majorBidi"/>
      <w:b/>
      <w:bCs/>
      <w:color w:val="5B9BD5" w:themeColor="accent1"/>
      <w:sz w:val="26"/>
      <w:szCs w:val="26"/>
      <w:lang w:eastAsia="tr-TR"/>
    </w:rPr>
  </w:style>
  <w:style w:type="character" w:customStyle="1" w:styleId="Heading3Char">
    <w:name w:val="Heading 3 Char"/>
    <w:basedOn w:val="DefaultParagraphFont"/>
    <w:link w:val="Heading3"/>
    <w:uiPriority w:val="9"/>
    <w:rsid w:val="00AC0D85"/>
    <w:rPr>
      <w:rFonts w:asciiTheme="majorHAnsi" w:eastAsiaTheme="majorEastAsia" w:hAnsiTheme="majorHAnsi" w:cstheme="majorBidi"/>
      <w:b/>
      <w:bCs/>
      <w:color w:val="5B9BD5" w:themeColor="accent1"/>
      <w:lang w:eastAsia="tr-TR"/>
    </w:rPr>
  </w:style>
  <w:style w:type="character" w:customStyle="1" w:styleId="Heading5Char">
    <w:name w:val="Heading 5 Char"/>
    <w:basedOn w:val="DefaultParagraphFont"/>
    <w:link w:val="Heading5"/>
    <w:uiPriority w:val="9"/>
    <w:rsid w:val="00AC0D85"/>
    <w:rPr>
      <w:rFonts w:asciiTheme="majorHAnsi" w:eastAsiaTheme="majorEastAsia" w:hAnsiTheme="majorHAnsi" w:cstheme="majorBidi"/>
      <w:color w:val="1F4D78" w:themeColor="accent1" w:themeShade="7F"/>
      <w:lang w:eastAsia="tr-TR"/>
    </w:rPr>
  </w:style>
  <w:style w:type="character" w:customStyle="1" w:styleId="Heading6Char">
    <w:name w:val="Heading 6 Char"/>
    <w:basedOn w:val="DefaultParagraphFont"/>
    <w:link w:val="Heading6"/>
    <w:uiPriority w:val="9"/>
    <w:semiHidden/>
    <w:rsid w:val="00AC0D85"/>
    <w:rPr>
      <w:rFonts w:asciiTheme="majorHAnsi" w:eastAsiaTheme="majorEastAsia" w:hAnsiTheme="majorHAnsi" w:cstheme="majorBidi"/>
      <w:i/>
      <w:iCs/>
      <w:color w:val="1F4D78" w:themeColor="accent1" w:themeShade="7F"/>
      <w:lang w:eastAsia="tr-TR"/>
    </w:rPr>
  </w:style>
  <w:style w:type="character" w:customStyle="1" w:styleId="Heading7Char">
    <w:name w:val="Heading 7 Char"/>
    <w:basedOn w:val="DefaultParagraphFont"/>
    <w:link w:val="Heading7"/>
    <w:uiPriority w:val="9"/>
    <w:semiHidden/>
    <w:rsid w:val="00AC0D85"/>
    <w:rPr>
      <w:rFonts w:asciiTheme="majorHAnsi" w:eastAsiaTheme="majorEastAsia" w:hAnsiTheme="majorHAnsi" w:cstheme="majorBidi"/>
      <w:i/>
      <w:iCs/>
      <w:color w:val="404040" w:themeColor="text1" w:themeTint="BF"/>
      <w:lang w:eastAsia="tr-TR"/>
    </w:rPr>
  </w:style>
  <w:style w:type="character" w:customStyle="1" w:styleId="Heading8Char">
    <w:name w:val="Heading 8 Char"/>
    <w:basedOn w:val="DefaultParagraphFont"/>
    <w:link w:val="Heading8"/>
    <w:uiPriority w:val="9"/>
    <w:semiHidden/>
    <w:rsid w:val="00AC0D85"/>
    <w:rPr>
      <w:rFonts w:asciiTheme="majorHAnsi" w:eastAsiaTheme="majorEastAsia" w:hAnsiTheme="majorHAnsi" w:cstheme="majorBidi"/>
      <w:color w:val="404040" w:themeColor="text1" w:themeTint="BF"/>
      <w:sz w:val="20"/>
      <w:szCs w:val="20"/>
      <w:lang w:eastAsia="tr-TR"/>
    </w:rPr>
  </w:style>
  <w:style w:type="character" w:customStyle="1" w:styleId="Heading9Char">
    <w:name w:val="Heading 9 Char"/>
    <w:basedOn w:val="DefaultParagraphFont"/>
    <w:link w:val="Heading9"/>
    <w:uiPriority w:val="9"/>
    <w:semiHidden/>
    <w:rsid w:val="00AC0D85"/>
    <w:rPr>
      <w:rFonts w:asciiTheme="majorHAnsi" w:eastAsiaTheme="majorEastAsia" w:hAnsiTheme="majorHAnsi" w:cstheme="majorBidi"/>
      <w:i/>
      <w:iCs/>
      <w:color w:val="404040" w:themeColor="text1" w:themeTint="BF"/>
      <w:sz w:val="20"/>
      <w:szCs w:val="20"/>
      <w:lang w:eastAsia="tr-TR"/>
    </w:rPr>
  </w:style>
  <w:style w:type="table" w:customStyle="1" w:styleId="GridTable1Light-Accent51">
    <w:name w:val="Grid Table 1 Light - Accent 51"/>
    <w:basedOn w:val="TableNormal"/>
    <w:uiPriority w:val="46"/>
    <w:rsid w:val="00AC0D8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5F0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PGVsZW1lbnQgdWlkPSIzM2QwZGQ4Zi02MjkxLTQ0ZTktOTBlOS1lOTNlOWU0MGQ3ZTkiIHZhbHVlPSIiIHhtbG5zPSJodHRwOi8vd3d3LmJvbGRvbmphbWVzLmNvbS8yMDA4LzAxL3NpZS9pbnRlcm5hbC9sYWJlbCIgLz48L3Npc2w+PFVzZXJOYW1lPkVQSUFTXHNpbmFuLmFraW5jaTwvVXNlck5hbWU+PERhdGVUaW1lPjExLjAzLjIwMjIgMTM6MDc6MDY8L0RhdGVUaW1lPjxMYWJlbFN0cmluZz5UYXNuaWYgRCYjeDEzMTsmI3gxNUY7JiN4MTMxOy1LaSYjeDE1Rjtpc2VsIFZlcmkgaSYjeEU3O2VybWV6PC9MYWJlbFN0cmluZz48L2l0ZW0+PC9sYWJlbEhpc3Rvcnk+</Value>
</WrappedLabelHistory>
</file>

<file path=customXml/item2.xml><?xml version="1.0" encoding="utf-8"?>
<sisl xmlns:xsd="http://www.w3.org/2001/XMLSchema" xmlns:xsi="http://www.w3.org/2001/XMLSchema-instance" xmlns="http://www.boldonjames.com/2008/01/sie/internal/label" sislVersion="0" policy="2b49867b-ace3-408a-b7e4-6d2a39195fc6" origin="userSelected">
  <element uid="id_classification_nonbusiness" value=""/>
  <element uid="33d0dd8f-6291-44e9-90e9-e93e9e40d7e9" value=""/>
</sisl>
</file>

<file path=customXml/itemProps1.xml><?xml version="1.0" encoding="utf-8"?>
<ds:datastoreItem xmlns:ds="http://schemas.openxmlformats.org/officeDocument/2006/customXml" ds:itemID="{2724267B-AFF8-4C1E-920D-7DE0DE67331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41E41EB-3633-4814-8844-24ABB84E9D4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4696</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Sezer</dc:creator>
  <cp:keywords>Tasnif Dışı / Kişisel Veri içermez</cp:keywords>
  <dc:description/>
  <cp:lastModifiedBy>Yusuf Sinan Akıncı</cp:lastModifiedBy>
  <cp:revision>3</cp:revision>
  <cp:lastPrinted>2021-05-27T09:07:00Z</cp:lastPrinted>
  <dcterms:created xsi:type="dcterms:W3CDTF">2022-04-27T08:54:00Z</dcterms:created>
  <dcterms:modified xsi:type="dcterms:W3CDTF">2022-04-27T08:54:00Z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571c09d7-fa7d-4a97-a334-81b5733f1bfe</vt:lpwstr>
  </property>
  <property fmtid="{D5CDD505-2E9C-101B-9397-08002B2CF9AE}" pid="3" name="bjSaver">
    <vt:lpwstr>bjIPbH16dGehuTTYQ9rIA/g7mFel6V81</vt:lpwstr>
  </property>
  <property fmtid="{D5CDD505-2E9C-101B-9397-08002B2CF9AE}" pid="4" name="bjDocumentSecurityLabel">
    <vt:lpwstr>Tasnif Dışı-Kişisel Veri içermez</vt:lpwstr>
  </property>
  <property fmtid="{D5CDD505-2E9C-101B-9397-08002B2CF9AE}" pid="5" name="bjDocumentLabelXML">
    <vt:lpwstr>&lt;?xml version="1.0" encoding="us-ascii"?&gt;&lt;sisl xmlns:xsd="http://www.w3.org/2001/XMLSchema" xmlns:xsi="http://www.w3.org/2001/XMLSchema-instance" sislVersion="0" policy="2b49867b-ace3-408a-b7e4-6d2a39195fc6" origin="userSelected" xmlns="http://www.boldonj</vt:lpwstr>
  </property>
  <property fmtid="{D5CDD505-2E9C-101B-9397-08002B2CF9AE}" pid="6" name="bjDocumentLabelXML-0">
    <vt:lpwstr>ames.com/2008/01/sie/internal/label"&gt;&lt;element uid="id_classification_nonbusiness" value="" /&gt;&lt;element uid="33d0dd8f-6291-44e9-90e9-e93e9e40d7e9" value="" /&gt;&lt;/sisl&gt;</vt:lpwstr>
  </property>
  <property fmtid="{D5CDD505-2E9C-101B-9397-08002B2CF9AE}" pid="7" name="bjLabelHistoryID">
    <vt:lpwstr>{2724267B-AFF8-4C1E-920D-7DE0DE673317}</vt:lpwstr>
  </property>
</Properties>
</file>