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389" w:rsidRPr="00313215" w:rsidRDefault="00DD6389" w:rsidP="00A62179">
      <w:pPr>
        <w:pStyle w:val="Heading3"/>
        <w:numPr>
          <w:ilvl w:val="0"/>
          <w:numId w:val="0"/>
        </w:numPr>
        <w:spacing w:after="160"/>
        <w:rPr>
          <w:rFonts w:cstheme="majorHAnsi"/>
        </w:rPr>
      </w:pPr>
      <w:bookmarkStart w:id="0" w:name="_Toc25763443"/>
      <w:bookmarkStart w:id="1" w:name="_Toc30075382"/>
      <w:r w:rsidRPr="00313215">
        <w:rPr>
          <w:rFonts w:cstheme="majorHAnsi"/>
        </w:rPr>
        <w:t>Çeyreklik Baz Yük Elektrik Kontratı</w:t>
      </w:r>
      <w:bookmarkEnd w:id="0"/>
      <w:bookmarkEnd w:id="1"/>
    </w:p>
    <w:tbl>
      <w:tblPr>
        <w:tblStyle w:val="GridTable1Light-Accent5"/>
        <w:tblW w:w="9175" w:type="dxa"/>
        <w:tblLook w:val="04A0" w:firstRow="1" w:lastRow="0" w:firstColumn="1" w:lastColumn="0" w:noHBand="0" w:noVBand="1"/>
      </w:tblPr>
      <w:tblGrid>
        <w:gridCol w:w="2502"/>
        <w:gridCol w:w="6673"/>
      </w:tblGrid>
      <w:tr w:rsidR="00DD6389" w:rsidRPr="00313215" w:rsidTr="00A62179">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502" w:type="dxa"/>
            <w:shd w:val="clear" w:color="auto" w:fill="DEEAF6" w:themeFill="accent1" w:themeFillTint="33"/>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Sözleşme Unsuru</w:t>
            </w:r>
          </w:p>
        </w:tc>
        <w:tc>
          <w:tcPr>
            <w:tcW w:w="6673" w:type="dxa"/>
            <w:shd w:val="clear" w:color="auto" w:fill="DEEAF6" w:themeFill="accent1" w:themeFillTint="33"/>
          </w:tcPr>
          <w:p w:rsidR="00DD6389" w:rsidRPr="00313215" w:rsidRDefault="00DD6389" w:rsidP="00A62179">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Açıklama</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A62179" w:rsidP="00A62179">
            <w:pPr>
              <w:spacing w:after="160" w:line="276" w:lineRule="auto"/>
              <w:jc w:val="both"/>
              <w:rPr>
                <w:rFonts w:cstheme="minorHAnsi"/>
                <w:sz w:val="18"/>
                <w:szCs w:val="20"/>
              </w:rPr>
            </w:pPr>
            <w:r>
              <w:rPr>
                <w:rFonts w:cstheme="minorHAnsi"/>
                <w:sz w:val="18"/>
                <w:szCs w:val="20"/>
              </w:rPr>
              <w:t>Kontrat Adı (EBQNY</w:t>
            </w:r>
            <w:r w:rsidR="00DD6389" w:rsidRPr="00313215">
              <w:rPr>
                <w:rFonts w:cstheme="minorHAnsi"/>
                <w:sz w:val="18"/>
                <w:szCs w:val="20"/>
              </w:rPr>
              <w:t>)</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 xml:space="preserve">E:Elektrik Kontratı, B: Yük Tipi Harf Kodu, </w:t>
            </w:r>
            <w:r w:rsidR="00A62179">
              <w:rPr>
                <w:rFonts w:cstheme="minorHAnsi"/>
                <w:sz w:val="18"/>
                <w:szCs w:val="20"/>
              </w:rPr>
              <w:t>Q: Teslimat Dönemi Harf Kodu, N</w:t>
            </w:r>
            <w:r w:rsidRPr="00313215">
              <w:rPr>
                <w:rFonts w:cstheme="minorHAnsi"/>
                <w:sz w:val="18"/>
                <w:szCs w:val="20"/>
              </w:rPr>
              <w:t xml:space="preserve">: İlgili yılın </w:t>
            </w:r>
            <w:r w:rsidR="00A62179">
              <w:rPr>
                <w:rFonts w:cstheme="minorHAnsi"/>
                <w:sz w:val="18"/>
                <w:szCs w:val="20"/>
              </w:rPr>
              <w:t>kaçıncı çeyreği olduğunu gösteren sıra</w:t>
            </w:r>
            <w:r w:rsidR="008E0623">
              <w:rPr>
                <w:rFonts w:cstheme="minorHAnsi"/>
                <w:sz w:val="18"/>
                <w:szCs w:val="20"/>
              </w:rPr>
              <w:t>, Y</w:t>
            </w:r>
            <w:r w:rsidRPr="00313215">
              <w:rPr>
                <w:rFonts w:cstheme="minorHAnsi"/>
                <w:sz w:val="18"/>
                <w:szCs w:val="20"/>
              </w:rPr>
              <w:t xml:space="preserve">Y: Teslimat dönemine ait Yıl </w:t>
            </w:r>
            <w:r w:rsidR="00A62179">
              <w:rPr>
                <w:rFonts w:cstheme="minorHAnsi"/>
                <w:b/>
                <w:sz w:val="18"/>
                <w:szCs w:val="20"/>
              </w:rPr>
              <w:t>(Örnek: 2021 yılı</w:t>
            </w:r>
            <w:r w:rsidR="00E911E3">
              <w:rPr>
                <w:rFonts w:cstheme="minorHAnsi"/>
                <w:b/>
                <w:sz w:val="18"/>
                <w:szCs w:val="20"/>
              </w:rPr>
              <w:t xml:space="preserve"> üçüncü Çeyrek Baz Kontratı EBQ</w:t>
            </w:r>
            <w:r w:rsidR="00A62179">
              <w:rPr>
                <w:rFonts w:cstheme="minorHAnsi"/>
                <w:b/>
                <w:sz w:val="18"/>
                <w:szCs w:val="20"/>
              </w:rPr>
              <w:t>321</w:t>
            </w:r>
            <w:r w:rsidRPr="00313215">
              <w:rPr>
                <w:rFonts w:cstheme="minorHAnsi"/>
                <w:b/>
                <w:sz w:val="18"/>
                <w:szCs w:val="20"/>
              </w:rPr>
              <w:t>)</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Dayanak Varlık</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 xml:space="preserve">Fiziksel </w:t>
            </w:r>
            <w:r w:rsidRPr="00313215">
              <w:rPr>
                <w:rFonts w:cstheme="minorHAnsi"/>
                <w:sz w:val="18"/>
                <w:szCs w:val="20"/>
              </w:rPr>
              <w:t xml:space="preserve">Çeyreklik Vadeli Baz Yük Elektrik </w:t>
            </w:r>
            <w:r>
              <w:rPr>
                <w:rFonts w:cstheme="minorHAnsi"/>
                <w:sz w:val="18"/>
                <w:szCs w:val="20"/>
              </w:rPr>
              <w:t>Kontratı</w:t>
            </w:r>
            <w:r w:rsidRPr="00313215">
              <w:rPr>
                <w:rFonts w:cstheme="minorHAnsi"/>
                <w:sz w:val="18"/>
                <w:szCs w:val="20"/>
              </w:rPr>
              <w:t>, sözleşmenin taraflarına 1 çeyrek boyunca, ilgili teklif bölgesinde teslimat çeyreğinin ilk günü saat 00.00’dan teslimat çeyreğinin son günü 23.59’a kadar her saat eşit miktar</w:t>
            </w:r>
            <w:r>
              <w:rPr>
                <w:rFonts w:cstheme="minorHAnsi"/>
                <w:sz w:val="18"/>
                <w:szCs w:val="20"/>
              </w:rPr>
              <w:t>da olacak şekilde 1 Lot (0,1 MW</w:t>
            </w:r>
            <w:r w:rsidRPr="00313215">
              <w:rPr>
                <w:rFonts w:cstheme="minorHAnsi"/>
                <w:sz w:val="18"/>
                <w:szCs w:val="20"/>
              </w:rPr>
              <w:t xml:space="preserve">) ve katları elektrik veriş veya çekiş yükümlülüğü getirir. Yapılmak istenen ticaret büyüklüğüne göre piyasa katılımcısı işlem yapacağı Lot sayısını kendisi ayarlar.  </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Teklif Bölgesi</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Türkiye</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Minimum Ticaret Miktarı</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1 Lot = 0,1 MW</w:t>
            </w:r>
          </w:p>
        </w:tc>
      </w:tr>
      <w:tr w:rsidR="00DD6389" w:rsidRPr="00313215" w:rsidTr="00B5704D">
        <w:trPr>
          <w:trHeight w:val="1765"/>
        </w:trPr>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Kontrat Büyüklüğü</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Teslimat</w:t>
            </w:r>
            <w:r w:rsidRPr="00313215" w:rsidDel="005A6B5F">
              <w:rPr>
                <w:rFonts w:cstheme="minorHAnsi"/>
                <w:sz w:val="18"/>
                <w:szCs w:val="20"/>
              </w:rPr>
              <w:t xml:space="preserve"> </w:t>
            </w:r>
            <w:r w:rsidRPr="00313215">
              <w:rPr>
                <w:rFonts w:cstheme="minorHAnsi"/>
                <w:sz w:val="18"/>
                <w:szCs w:val="20"/>
              </w:rPr>
              <w:t>çeyreğindeki saat sayısı x 0, 1 MW</w:t>
            </w:r>
          </w:p>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Teslimat</w:t>
            </w:r>
            <w:r w:rsidRPr="00313215" w:rsidDel="005A6B5F">
              <w:rPr>
                <w:rFonts w:cstheme="minorHAnsi"/>
                <w:sz w:val="18"/>
                <w:szCs w:val="20"/>
              </w:rPr>
              <w:t xml:space="preserve"> </w:t>
            </w:r>
            <w:r w:rsidRPr="00313215">
              <w:rPr>
                <w:rFonts w:cstheme="minorHAnsi"/>
                <w:sz w:val="18"/>
                <w:szCs w:val="20"/>
              </w:rPr>
              <w:t>çeyreğindeki saat sayısı: Teslimat</w:t>
            </w:r>
            <w:r w:rsidRPr="00313215" w:rsidDel="005A6B5F">
              <w:rPr>
                <w:rFonts w:cstheme="minorHAnsi"/>
                <w:sz w:val="18"/>
                <w:szCs w:val="20"/>
              </w:rPr>
              <w:t xml:space="preserve"> </w:t>
            </w:r>
            <w:r w:rsidRPr="00313215">
              <w:rPr>
                <w:rFonts w:cstheme="minorHAnsi"/>
                <w:sz w:val="18"/>
                <w:szCs w:val="20"/>
              </w:rPr>
              <w:t>çeyreğindeki gün sayısı x 24</w:t>
            </w:r>
          </w:p>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Kontrat büyüklüğü teslimat</w:t>
            </w:r>
            <w:r w:rsidRPr="00313215" w:rsidDel="005A6B5F">
              <w:rPr>
                <w:rFonts w:cstheme="minorHAnsi"/>
                <w:sz w:val="18"/>
                <w:szCs w:val="20"/>
              </w:rPr>
              <w:t xml:space="preserve"> </w:t>
            </w:r>
            <w:r w:rsidRPr="00313215">
              <w:rPr>
                <w:rFonts w:cstheme="minorHAnsi"/>
                <w:sz w:val="18"/>
                <w:szCs w:val="20"/>
              </w:rPr>
              <w:t>çeyreğindeki gün sayısına ve yaz saati/kış saati uygulamasına göre değişkenlik gösterir. Kış saatinden yaz saatine geçiş yapılan gün için saat sayısı 23, yaz saatinden kış saatine geçiş yapılan gün için ise saat sayısı 25 olarak uygulanacaktır.</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Eşleşme Fiyatı</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Verilen tekliflerin eşleşmesi durumunda gerçekleşen ticaretin fiyatı teklif defterine önce girilen teklifin fiyatına eşit olur.</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Teklif Fiyatı ve Minimum Fiyat Adımı</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1 MWh elektrik enerjisinin TL değeri</w:t>
            </w:r>
            <w:r>
              <w:rPr>
                <w:rFonts w:cstheme="minorHAnsi"/>
                <w:sz w:val="18"/>
                <w:szCs w:val="20"/>
              </w:rPr>
              <w:t>dir.</w:t>
            </w:r>
            <w:r w:rsidRPr="00313215">
              <w:rPr>
                <w:rFonts w:cstheme="minorHAnsi"/>
                <w:sz w:val="18"/>
                <w:szCs w:val="20"/>
              </w:rPr>
              <w:t xml:space="preserve"> </w:t>
            </w:r>
            <w:r>
              <w:rPr>
                <w:rFonts w:cstheme="minorHAnsi"/>
                <w:sz w:val="18"/>
                <w:szCs w:val="20"/>
              </w:rPr>
              <w:t>V</w:t>
            </w:r>
            <w:r w:rsidRPr="00313215">
              <w:rPr>
                <w:rFonts w:cstheme="minorHAnsi"/>
                <w:sz w:val="18"/>
                <w:szCs w:val="20"/>
              </w:rPr>
              <w:t>irgülden sonra iki basamak</w:t>
            </w:r>
            <w:r>
              <w:rPr>
                <w:rFonts w:cstheme="minorHAnsi"/>
                <w:sz w:val="18"/>
                <w:szCs w:val="20"/>
              </w:rPr>
              <w:t xml:space="preserve"> (kuruş)</w:t>
            </w:r>
            <w:r w:rsidRPr="00313215">
              <w:rPr>
                <w:rFonts w:cstheme="minorHAnsi"/>
                <w:sz w:val="18"/>
                <w:szCs w:val="20"/>
              </w:rPr>
              <w:t xml:space="preserve"> olarak ifade edilir. Minimum fiyat adımı 0,01 TL’dir.</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Günlük Gösterge Fiyatı (GGF)</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Seans sonunda piyasa katılımcılarının sahip oldukları pozisyonlar için bulundurmaları gereken teminatın hesaplanmasında ve ilgili kontratın bir sonraki gün için işlem göreceği açılış fiyatının tespitinde kullanılır.</w:t>
            </w:r>
          </w:p>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(1) GGF aşağıdaki şekilde belirlenir:</w:t>
            </w:r>
          </w:p>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 xml:space="preserve">a)Seans içerisinde gerçekleştirilen tüm işlemlerin miktar ağırlıklı ortalama fiyatı “Günlük Gösterge Fiyatı (GGF)” olarak belirlenir. </w:t>
            </w:r>
          </w:p>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 xml:space="preserve">b) Seans içerisinde toplam eşleşme miktarının çeyreklik kontratlarda 20 lotun altında olması halinde, </w:t>
            </w:r>
          </w:p>
          <w:p w:rsidR="00DD6389" w:rsidRPr="00313215" w:rsidRDefault="00DD6389" w:rsidP="00A62179">
            <w:pPr>
              <w:spacing w:after="160" w:line="276" w:lineRule="auto"/>
              <w:ind w:firstLine="709"/>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1) İlgili kontratlardaki eşleşme fiyatlarının miktar ağırlıklı ortalamasının %75’i,</w:t>
            </w:r>
          </w:p>
          <w:p w:rsidR="00DD6389" w:rsidRPr="00313215" w:rsidRDefault="00DD6389" w:rsidP="00A62179">
            <w:pPr>
              <w:spacing w:after="160" w:line="276" w:lineRule="auto"/>
              <w:ind w:firstLine="709"/>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 xml:space="preserve">2) Teklif </w:t>
            </w:r>
            <w:r w:rsidR="00A62179">
              <w:rPr>
                <w:rFonts w:cstheme="minorHAnsi"/>
                <w:sz w:val="18"/>
                <w:szCs w:val="20"/>
              </w:rPr>
              <w:t>defterinde en az 9</w:t>
            </w:r>
            <w:r w:rsidRPr="00313215">
              <w:rPr>
                <w:rFonts w:cstheme="minorHAnsi"/>
                <w:sz w:val="18"/>
                <w:szCs w:val="20"/>
              </w:rPr>
              <w:t>00 saniye yer alan, çeyreklik kontratlarda 20 lot ve üstü en iyi alış ve satış tekliflerine ait fiyatların aritmetik ortalamasının % 25’i toplanarak GGF belirlenir.</w:t>
            </w:r>
          </w:p>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c) Seans içerisinde eşleşme gerçekleşme</w:t>
            </w:r>
            <w:r w:rsidR="00A62179">
              <w:rPr>
                <w:rFonts w:cstheme="minorHAnsi"/>
                <w:sz w:val="18"/>
                <w:szCs w:val="20"/>
              </w:rPr>
              <w:t>mişse, teklif defterinde en az 9</w:t>
            </w:r>
            <w:r w:rsidRPr="00313215">
              <w:rPr>
                <w:rFonts w:cstheme="minorHAnsi"/>
                <w:sz w:val="18"/>
                <w:szCs w:val="20"/>
              </w:rPr>
              <w:t xml:space="preserve">00 saniye yer alan çeyreklik kontratlarda 20 lot ve üstü en iyi alış ve satış tekliflerine ait fiyatların aritmetik ortalaması GGF olarak belirlenir. </w:t>
            </w:r>
          </w:p>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ç) (c) bendinde belirtilen teklif miktarı şartının sağlanamaması durumunda dördüncü fıkrada belirtilen usullerle GGF belirlenir.</w:t>
            </w:r>
          </w:p>
          <w:p w:rsidR="00A62179" w:rsidRPr="00A62179" w:rsidRDefault="00A6217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A62179">
              <w:rPr>
                <w:rFonts w:cstheme="minorHAnsi"/>
                <w:sz w:val="18"/>
                <w:szCs w:val="20"/>
              </w:rPr>
              <w:t xml:space="preserve">(2) Özel işlem bildirimleri, temerrüt yönetimi kapsamında gerçekleştirilen işlemler ile sentetik eşleşmeler GGF hesaplamasında dikkate alınmaz. </w:t>
            </w:r>
          </w:p>
          <w:p w:rsidR="00A62179" w:rsidRPr="00A62179" w:rsidRDefault="00A6217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A62179">
              <w:rPr>
                <w:rFonts w:cstheme="minorHAnsi"/>
                <w:sz w:val="18"/>
                <w:szCs w:val="20"/>
              </w:rPr>
              <w:lastRenderedPageBreak/>
              <w:t>(3) Hesaplanan GGF virgülden sonra iki haneli en yakın fiyat adımına yuvarlanır.</w:t>
            </w:r>
          </w:p>
          <w:p w:rsidR="00DD6389" w:rsidRPr="00313215" w:rsidRDefault="00A6217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A62179">
              <w:rPr>
                <w:rFonts w:cstheme="minorHAnsi"/>
                <w:sz w:val="18"/>
                <w:szCs w:val="20"/>
              </w:rPr>
              <w:t xml:space="preserve">(4) Birinci fıkrada belirtildiği şekilde GGF hesaplanamaması veya hesaplanan fiyatın Komisyon tarafından piyasayı doğru yansıtmadığının değerlendirilmesi durumunda öncelikle teorik fiyat belirleme usulüne başvurulur. Teorik fiyat belirleme usulü ile hesaplama yapılamaması durumunda anket ve ihale usulleri ayrı ayrı ya da birlikte kullanılarak GGF belirlenmesine Komisyon tarafından karar verilir. </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lastRenderedPageBreak/>
              <w:t>Açılış Fiyatı ve Günlük Fiyat Değişim Limiti</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Açılış Fiyatı: Her bir kontratın, ilk işleme açıldığı gün veya bir kontratın işlem görmesinin geçici olarak durdurulması halinde yeniden işleme açılması sırasında belirlenen baz fiyat</w:t>
            </w:r>
            <w:r w:rsidR="003A39DB">
              <w:rPr>
                <w:rFonts w:cstheme="minorHAnsi"/>
                <w:sz w:val="18"/>
                <w:szCs w:val="20"/>
              </w:rPr>
              <w:t>a</w:t>
            </w:r>
            <w:r w:rsidRPr="00313215">
              <w:rPr>
                <w:rFonts w:cstheme="minorHAnsi"/>
                <w:sz w:val="18"/>
                <w:szCs w:val="20"/>
              </w:rPr>
              <w:t>, ilk işlem gününden sonraki işlem günlerinde ise ilan edilen son günlük gösterge fiyatı</w:t>
            </w:r>
            <w:r w:rsidR="003A39DB">
              <w:rPr>
                <w:rFonts w:cstheme="minorHAnsi"/>
                <w:sz w:val="18"/>
                <w:szCs w:val="20"/>
              </w:rPr>
              <w:t>na eşittir</w:t>
            </w:r>
            <w:r w:rsidRPr="00313215">
              <w:rPr>
                <w:rFonts w:cstheme="minorHAnsi"/>
                <w:sz w:val="18"/>
                <w:szCs w:val="20"/>
              </w:rPr>
              <w:t>.</w:t>
            </w:r>
          </w:p>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Günlük fiyat değişim limiti, her bir kontrat için belirlenen açılış fiyatın ±%7’sidir. Bu yöntemle hesaplanan alt veya üst limitin fiyat adımına tekabül etmemesi halinde üst limit bir üst fiyat adımına, alt limit ise bir alt fiyat adımına yuvarlanır.</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Teslimat Çeyrekleri</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 xml:space="preserve">İçinde bulunulan </w:t>
            </w:r>
            <w:r>
              <w:rPr>
                <w:rFonts w:cstheme="minorHAnsi"/>
                <w:sz w:val="18"/>
                <w:szCs w:val="20"/>
              </w:rPr>
              <w:t>çeyreklik dönemi takip eden en fazla 8</w:t>
            </w:r>
            <w:r w:rsidRPr="00313215">
              <w:rPr>
                <w:rFonts w:cstheme="minorHAnsi"/>
                <w:sz w:val="18"/>
                <w:szCs w:val="20"/>
              </w:rPr>
              <w:t xml:space="preserve"> </w:t>
            </w:r>
            <w:r>
              <w:rPr>
                <w:rFonts w:cstheme="minorHAnsi"/>
                <w:sz w:val="18"/>
                <w:szCs w:val="20"/>
              </w:rPr>
              <w:t>çeyrek</w:t>
            </w:r>
            <w:r w:rsidRPr="00313215">
              <w:rPr>
                <w:rFonts w:cstheme="minorHAnsi"/>
                <w:sz w:val="18"/>
                <w:szCs w:val="20"/>
              </w:rPr>
              <w:t>.</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Son İşlem Günü</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 xml:space="preserve">Her teslimat (vade) çeyreğinin başlangıcından önceki sondan 3. iş günü. Yurt içi piyasaların resmi tatil nedeniyle yarım gün olması durumunda son işlem günü bir önceki iş günüdür. Son işlem günü işlem bitiş saatine kadar ticaret devam eder. </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İşlem Saatleri</w:t>
            </w:r>
          </w:p>
        </w:tc>
        <w:tc>
          <w:tcPr>
            <w:tcW w:w="6673" w:type="dxa"/>
          </w:tcPr>
          <w:p w:rsidR="00DD6389" w:rsidRPr="00313215" w:rsidRDefault="00DD6389" w:rsidP="003A39DB">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 xml:space="preserve">İlgili </w:t>
            </w:r>
            <w:r w:rsidR="003A39DB">
              <w:rPr>
                <w:rFonts w:cstheme="minorHAnsi"/>
                <w:sz w:val="18"/>
                <w:szCs w:val="20"/>
              </w:rPr>
              <w:t>çeyrek</w:t>
            </w:r>
            <w:r w:rsidRPr="00313215">
              <w:rPr>
                <w:rFonts w:cstheme="minorHAnsi"/>
                <w:sz w:val="18"/>
                <w:szCs w:val="20"/>
              </w:rPr>
              <w:t xml:space="preserve"> kontratının işleme açılması ile son işlem günü bitimine kadar işlem yapılabilir. İşlem saatleri her </w:t>
            </w:r>
            <w:r>
              <w:rPr>
                <w:rFonts w:cstheme="minorHAnsi"/>
                <w:sz w:val="18"/>
                <w:szCs w:val="20"/>
              </w:rPr>
              <w:t xml:space="preserve">iş </w:t>
            </w:r>
            <w:r w:rsidRPr="00313215">
              <w:rPr>
                <w:rFonts w:cstheme="minorHAnsi"/>
                <w:sz w:val="18"/>
                <w:szCs w:val="20"/>
              </w:rPr>
              <w:t>gün</w:t>
            </w:r>
            <w:r>
              <w:rPr>
                <w:rFonts w:cstheme="minorHAnsi"/>
                <w:sz w:val="18"/>
                <w:szCs w:val="20"/>
              </w:rPr>
              <w:t>ü (yarım iş günleri hariç)</w:t>
            </w:r>
            <w:r w:rsidRPr="00313215">
              <w:rPr>
                <w:rFonts w:cstheme="minorHAnsi"/>
                <w:sz w:val="18"/>
                <w:szCs w:val="20"/>
              </w:rPr>
              <w:t xml:space="preserve"> 13:00’da başlar 16:00’da kapanır.</w:t>
            </w:r>
          </w:p>
        </w:tc>
      </w:tr>
      <w:tr w:rsidR="00DD6389" w:rsidRPr="00313215" w:rsidTr="00B5704D">
        <w:trPr>
          <w:trHeight w:val="909"/>
        </w:trPr>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Ticaret Metodu</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Vadeli Elektrik Piyasası sürekli ticaret metodu yöntemine göre işleyen bir piyasadır. Vadeli Elektrik Piyasasına, son işlem günü saat 16:00’a kadar teklif verilebilir, verilen teklifler güncellenebilir, iptal edilebilir veya pasif yapılabilir.</w:t>
            </w:r>
          </w:p>
        </w:tc>
      </w:tr>
      <w:tr w:rsidR="00DD6389" w:rsidRPr="00313215" w:rsidTr="00B5704D">
        <w:trPr>
          <w:trHeight w:val="1078"/>
        </w:trPr>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Uzlaşma Şekli</w:t>
            </w:r>
          </w:p>
        </w:tc>
        <w:tc>
          <w:tcPr>
            <w:tcW w:w="6673" w:type="dxa"/>
          </w:tcPr>
          <w:p w:rsidR="00DD6389" w:rsidRPr="00313215"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Fiziki Teslimattır. Kontratın satış tarafı (kısa pozisyon sahibi) anlaşılan miktarda enerjiyi, ilgili teklif bölgesine, teslimat çeyreği boyunca her saat, kesintisiz olarak verir/teslim eder. Kontratın alış tarafı (uzun pozisyon sahibi) anlaşılan miktarda enerjiyi, ilgili teklif bölgesinde, teslimat çeyreği boyunca her saat, kesintisiz olarak çeker/teslim alır.</w:t>
            </w:r>
          </w:p>
        </w:tc>
      </w:tr>
      <w:tr w:rsidR="00DD6389" w:rsidRPr="00313215" w:rsidTr="00B5704D">
        <w:trPr>
          <w:trHeight w:val="2116"/>
        </w:trPr>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Pozisyon Limiti</w:t>
            </w:r>
          </w:p>
        </w:tc>
        <w:tc>
          <w:tcPr>
            <w:tcW w:w="6673" w:type="dxa"/>
          </w:tcPr>
          <w:p w:rsidR="00DD6389" w:rsidRPr="00313215" w:rsidRDefault="00FF5723"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highlight w:val="yellow"/>
              </w:rPr>
            </w:pPr>
            <w:r w:rsidRPr="00FF5723">
              <w:rPr>
                <w:rFonts w:cstheme="minorHAnsi"/>
                <w:sz w:val="18"/>
                <w:szCs w:val="20"/>
              </w:rPr>
              <w:t>Enerji ve Tabii Kaynaklar Bakanlığı tarafından hazırlanıp yayınlanan Türkiye Elektrik Enerjisi Talep Projeksiyonu Raporunda yer alan referans senaryoya göre önümüzdeki her yıl için öngörülen yıllık elektrik enerjisi tüketim miktarının %25’i kadar açık pozisyon oluşturulabilecek miktar (öngörülen tüketim miktarının %50 si) Piyasa Pozisyon limiti olarak belirle</w:t>
            </w:r>
            <w:r w:rsidR="007E279C">
              <w:rPr>
                <w:rFonts w:cstheme="minorHAnsi"/>
                <w:sz w:val="18"/>
                <w:szCs w:val="20"/>
              </w:rPr>
              <w:t>ni</w:t>
            </w:r>
            <w:r w:rsidRPr="00FF5723">
              <w:rPr>
                <w:rFonts w:cstheme="minorHAnsi"/>
                <w:sz w:val="18"/>
                <w:szCs w:val="20"/>
              </w:rPr>
              <w:t xml:space="preserve">r. </w:t>
            </w:r>
            <w:r w:rsidR="00B458B0" w:rsidRPr="00B458B0">
              <w:rPr>
                <w:rFonts w:cstheme="minorHAnsi"/>
                <w:sz w:val="18"/>
                <w:szCs w:val="20"/>
              </w:rPr>
              <w:t>Belirle</w:t>
            </w:r>
            <w:r w:rsidR="00296A1E">
              <w:rPr>
                <w:rFonts w:cstheme="minorHAnsi"/>
                <w:sz w:val="18"/>
                <w:szCs w:val="20"/>
              </w:rPr>
              <w:t>nen Piyasa Pozisyon limitinin %3</w:t>
            </w:r>
            <w:r w:rsidR="00B458B0" w:rsidRPr="00B458B0">
              <w:rPr>
                <w:rFonts w:cstheme="minorHAnsi"/>
                <w:sz w:val="18"/>
                <w:szCs w:val="20"/>
              </w:rPr>
              <w:t>0’u bir önceki yılın uzlaştırmaya esas çekiş miktarları dikkate alınarak teslimat dönemi çeyrek olan her bir kontrata yük karakteristiği oranınca pay edilir. Katılımcı pozisyon limitleri; uzlaştırma verisi çıkmış son on iki aydaki değerler dikkate alınarak her bir katılımcı için bulanan oran ile piyasa pozisyon limitinin çarpılmasıyla bulunur</w:t>
            </w:r>
            <w:r w:rsidR="00B458B0">
              <w:rPr>
                <w:rFonts w:cstheme="minorHAnsi"/>
                <w:sz w:val="18"/>
                <w:szCs w:val="20"/>
              </w:rPr>
              <w:t>.</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Ödemeler</w:t>
            </w:r>
          </w:p>
        </w:tc>
        <w:tc>
          <w:tcPr>
            <w:tcW w:w="6673" w:type="dxa"/>
          </w:tcPr>
          <w:p w:rsidR="00DD6389" w:rsidRPr="00313215" w:rsidRDefault="00DD6389" w:rsidP="00526FB6">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highlight w:val="yellow"/>
              </w:rPr>
            </w:pPr>
            <w:r w:rsidRPr="00313215">
              <w:rPr>
                <w:rFonts w:cstheme="minorHAnsi"/>
                <w:sz w:val="18"/>
                <w:szCs w:val="20"/>
              </w:rPr>
              <w:t xml:space="preserve">Ödemeler, aylık olarak ve teslimat dönemini takip eden ayda gerçekleşir. Teslimat/vade ayının her gününün her saatinde </w:t>
            </w:r>
            <w:r w:rsidR="00526FB6">
              <w:rPr>
                <w:rFonts w:cstheme="minorHAnsi"/>
                <w:sz w:val="18"/>
                <w:szCs w:val="20"/>
              </w:rPr>
              <w:t xml:space="preserve">eşleşme miktarı </w:t>
            </w:r>
            <w:bookmarkStart w:id="2" w:name="_GoBack"/>
            <w:bookmarkEnd w:id="2"/>
            <w:r w:rsidRPr="00313215">
              <w:rPr>
                <w:rFonts w:cstheme="minorHAnsi"/>
                <w:sz w:val="18"/>
                <w:szCs w:val="20"/>
              </w:rPr>
              <w:t xml:space="preserve">kadar elektrik veriş ve çekiş işlemi gerçekleştirilir. Uzun pozisyon sahibi piyasa katılımcısı, </w:t>
            </w:r>
            <w:r w:rsidR="003A39DB">
              <w:rPr>
                <w:rFonts w:cstheme="minorHAnsi"/>
                <w:sz w:val="18"/>
                <w:szCs w:val="20"/>
              </w:rPr>
              <w:t>t</w:t>
            </w:r>
            <w:r w:rsidRPr="00313215">
              <w:rPr>
                <w:rFonts w:cstheme="minorHAnsi"/>
                <w:sz w:val="18"/>
                <w:szCs w:val="20"/>
              </w:rPr>
              <w:t xml:space="preserve">eslimat/vade ayı için teslimat dönemindeki gün sayısı x </w:t>
            </w:r>
            <w:r w:rsidR="003A39DB">
              <w:rPr>
                <w:rFonts w:cstheme="minorHAnsi"/>
                <w:sz w:val="18"/>
                <w:szCs w:val="20"/>
              </w:rPr>
              <w:t xml:space="preserve">24 saat x </w:t>
            </w:r>
            <w:r w:rsidRPr="00313215">
              <w:rPr>
                <w:rFonts w:cstheme="minorHAnsi"/>
                <w:sz w:val="18"/>
                <w:szCs w:val="20"/>
              </w:rPr>
              <w:t xml:space="preserve">eşleşme fiyatı </w:t>
            </w:r>
            <w:r w:rsidR="003A39DB">
              <w:rPr>
                <w:rFonts w:cstheme="minorHAnsi"/>
                <w:sz w:val="18"/>
                <w:szCs w:val="20"/>
              </w:rPr>
              <w:t xml:space="preserve">(TL/MWh) </w:t>
            </w:r>
            <w:r w:rsidRPr="00313215">
              <w:rPr>
                <w:rFonts w:cstheme="minorHAnsi"/>
                <w:sz w:val="18"/>
                <w:szCs w:val="20"/>
              </w:rPr>
              <w:t>x eşleşme miktarı</w:t>
            </w:r>
            <w:r w:rsidR="007E279C">
              <w:rPr>
                <w:rFonts w:cstheme="minorHAnsi"/>
                <w:sz w:val="18"/>
                <w:szCs w:val="20"/>
              </w:rPr>
              <w:t xml:space="preserve"> (MW</w:t>
            </w:r>
            <w:r w:rsidR="003A39DB">
              <w:rPr>
                <w:rFonts w:cstheme="minorHAnsi"/>
                <w:sz w:val="18"/>
                <w:szCs w:val="20"/>
              </w:rPr>
              <w:t>)</w:t>
            </w:r>
            <w:r w:rsidRPr="00313215">
              <w:rPr>
                <w:rFonts w:cstheme="minorHAnsi"/>
                <w:sz w:val="18"/>
                <w:szCs w:val="20"/>
              </w:rPr>
              <w:t xml:space="preserve"> kadar tutarı piyasa işletmecisine öder. Piyasa işletmecisi de uzun pozisyon sahibi piyasa katılımcısından tahsil ettiği tutarı kısa pozisyon sahibi piyasa katılımcısına öder.</w:t>
            </w:r>
          </w:p>
        </w:tc>
      </w:tr>
      <w:tr w:rsidR="00DD6389" w:rsidRPr="00313215"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313215" w:rsidRDefault="00DD6389" w:rsidP="00A62179">
            <w:pPr>
              <w:spacing w:after="160" w:line="276" w:lineRule="auto"/>
              <w:jc w:val="both"/>
              <w:rPr>
                <w:rFonts w:cstheme="minorHAnsi"/>
                <w:sz w:val="18"/>
                <w:szCs w:val="20"/>
              </w:rPr>
            </w:pPr>
            <w:r w:rsidRPr="00313215">
              <w:rPr>
                <w:rFonts w:cstheme="minorHAnsi"/>
                <w:sz w:val="18"/>
                <w:szCs w:val="20"/>
              </w:rPr>
              <w:t>Teminat Esasları</w:t>
            </w:r>
          </w:p>
        </w:tc>
        <w:tc>
          <w:tcPr>
            <w:tcW w:w="6673" w:type="dxa"/>
          </w:tcPr>
          <w:p w:rsidR="00DD6389" w:rsidRPr="00313215" w:rsidRDefault="00A6217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 xml:space="preserve">Dengeleme ve Uzlaştırma Yönetmeliği (DUY), </w:t>
            </w:r>
            <w:r w:rsidRPr="00313215">
              <w:rPr>
                <w:rFonts w:cstheme="minorHAnsi"/>
                <w:sz w:val="18"/>
                <w:szCs w:val="20"/>
              </w:rPr>
              <w:t>Vadeli Elektrik Piyasası</w:t>
            </w:r>
            <w:r>
              <w:rPr>
                <w:rFonts w:cstheme="minorHAnsi"/>
                <w:sz w:val="18"/>
                <w:szCs w:val="20"/>
              </w:rPr>
              <w:t xml:space="preserve"> İşletim</w:t>
            </w:r>
            <w:r w:rsidRPr="00313215">
              <w:rPr>
                <w:rFonts w:cstheme="minorHAnsi"/>
                <w:sz w:val="18"/>
                <w:szCs w:val="20"/>
              </w:rPr>
              <w:t xml:space="preserve"> Usul ve Esasları</w:t>
            </w:r>
            <w:r>
              <w:rPr>
                <w:rFonts w:cstheme="minorHAnsi"/>
                <w:sz w:val="18"/>
                <w:szCs w:val="20"/>
              </w:rPr>
              <w:t xml:space="preserve"> ile Vadeli Elektrik Piyasası Yöntemi</w:t>
            </w:r>
            <w:r w:rsidRPr="00313215">
              <w:rPr>
                <w:rFonts w:cstheme="minorHAnsi"/>
                <w:sz w:val="18"/>
                <w:szCs w:val="20"/>
              </w:rPr>
              <w:t xml:space="preserve"> dikkate alınır.</w:t>
            </w:r>
          </w:p>
        </w:tc>
      </w:tr>
    </w:tbl>
    <w:p w:rsidR="00722997" w:rsidRDefault="00722997" w:rsidP="00A62179"/>
    <w:sectPr w:rsidR="0072299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161" w:rsidRDefault="008B7161" w:rsidP="00DD6389">
      <w:pPr>
        <w:spacing w:after="0" w:line="240" w:lineRule="auto"/>
      </w:pPr>
      <w:r>
        <w:separator/>
      </w:r>
    </w:p>
  </w:endnote>
  <w:endnote w:type="continuationSeparator" w:id="0">
    <w:p w:rsidR="008B7161" w:rsidRDefault="008B7161" w:rsidP="00DD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161" w:rsidRDefault="008B7161" w:rsidP="00DD6389">
      <w:pPr>
        <w:spacing w:after="0" w:line="240" w:lineRule="auto"/>
      </w:pPr>
      <w:r>
        <w:separator/>
      </w:r>
    </w:p>
  </w:footnote>
  <w:footnote w:type="continuationSeparator" w:id="0">
    <w:p w:rsidR="008B7161" w:rsidRDefault="008B7161" w:rsidP="00DD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4D" w:rsidRDefault="00B5704D">
    <w:pPr>
      <w:pStyle w:val="Header"/>
    </w:pPr>
    <w:r w:rsidRPr="00D935D0">
      <w:rPr>
        <w:noProof/>
        <w:lang w:eastAsia="tr-TR"/>
      </w:rPr>
      <w:drawing>
        <wp:inline distT="0" distB="0" distL="0" distR="0" wp14:anchorId="427E1DF5" wp14:editId="7B5018B7">
          <wp:extent cx="518160" cy="381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381000"/>
                  </a:xfrm>
                  <a:prstGeom prst="rect">
                    <a:avLst/>
                  </a:prstGeom>
                  <a:noFill/>
                  <a:ln>
                    <a:noFill/>
                  </a:ln>
                </pic:spPr>
              </pic:pic>
            </a:graphicData>
          </a:graphic>
        </wp:inline>
      </w:drawing>
    </w:r>
    <w:r>
      <w:t xml:space="preserve">           </w:t>
    </w:r>
    <w:r>
      <w:tab/>
    </w:r>
    <w:r w:rsidRPr="006A005A">
      <w:rPr>
        <w:rStyle w:val="Heading1Char"/>
      </w:rPr>
      <w:t>VADELİ ELEKTRİK PİYASASI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84DC2"/>
    <w:multiLevelType w:val="multilevel"/>
    <w:tmpl w:val="B8F63A92"/>
    <w:lvl w:ilvl="0">
      <w:start w:val="1"/>
      <w:numFmt w:val="decimal"/>
      <w:pStyle w:val="Heading1"/>
      <w:lvlText w:val="%1"/>
      <w:lvlJc w:val="left"/>
      <w:pPr>
        <w:ind w:left="432" w:hanging="432"/>
      </w:pPr>
    </w:lvl>
    <w:lvl w:ilvl="1">
      <w:start w:val="1"/>
      <w:numFmt w:val="decimal"/>
      <w:pStyle w:val="Heading2"/>
      <w:lvlText w:val="%1.%2"/>
      <w:lvlJc w:val="left"/>
      <w:pPr>
        <w:ind w:left="796" w:hanging="576"/>
      </w:pPr>
    </w:lvl>
    <w:lvl w:ilvl="2">
      <w:start w:val="1"/>
      <w:numFmt w:val="decimal"/>
      <w:pStyle w:val="Heading3"/>
      <w:lvlText w:val="%1.%2.%3"/>
      <w:lvlJc w:val="left"/>
      <w:pPr>
        <w:ind w:left="861" w:hanging="720"/>
      </w:pPr>
    </w:lvl>
    <w:lvl w:ilvl="3">
      <w:start w:val="1"/>
      <w:numFmt w:val="lowerRoman"/>
      <w:lvlText w:val="%4."/>
      <w:lvlJc w:val="righ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ED"/>
    <w:rsid w:val="00092052"/>
    <w:rsid w:val="000E6FA3"/>
    <w:rsid w:val="001022ED"/>
    <w:rsid w:val="00296A1E"/>
    <w:rsid w:val="003A39DB"/>
    <w:rsid w:val="00423441"/>
    <w:rsid w:val="004B55A0"/>
    <w:rsid w:val="00526FB6"/>
    <w:rsid w:val="0058306E"/>
    <w:rsid w:val="00645D58"/>
    <w:rsid w:val="006A226F"/>
    <w:rsid w:val="00722997"/>
    <w:rsid w:val="007E279C"/>
    <w:rsid w:val="008B7161"/>
    <w:rsid w:val="008E0623"/>
    <w:rsid w:val="009C2946"/>
    <w:rsid w:val="009F2F8F"/>
    <w:rsid w:val="00A62179"/>
    <w:rsid w:val="00B458B0"/>
    <w:rsid w:val="00B5704D"/>
    <w:rsid w:val="00C36072"/>
    <w:rsid w:val="00CA60B0"/>
    <w:rsid w:val="00D4449B"/>
    <w:rsid w:val="00DD6389"/>
    <w:rsid w:val="00E911E3"/>
    <w:rsid w:val="00F642F4"/>
    <w:rsid w:val="00F94D4B"/>
    <w:rsid w:val="00FF57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2818E0"/>
  <w15:chartTrackingRefBased/>
  <w15:docId w15:val="{4635E5F5-4D69-4E2B-9455-706116FE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389"/>
  </w:style>
  <w:style w:type="paragraph" w:styleId="Heading1">
    <w:name w:val="heading 1"/>
    <w:basedOn w:val="Normal"/>
    <w:next w:val="Normal"/>
    <w:link w:val="Heading1Char"/>
    <w:uiPriority w:val="9"/>
    <w:qFormat/>
    <w:rsid w:val="00DD6389"/>
    <w:pPr>
      <w:keepNext/>
      <w:keepLines/>
      <w:numPr>
        <w:numId w:val="1"/>
      </w:numPr>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paragraph" w:styleId="Heading2">
    <w:name w:val="heading 2"/>
    <w:basedOn w:val="Normal"/>
    <w:next w:val="Normal"/>
    <w:link w:val="Heading2Char"/>
    <w:uiPriority w:val="9"/>
    <w:unhideWhenUsed/>
    <w:qFormat/>
    <w:rsid w:val="00DD6389"/>
    <w:pPr>
      <w:keepNext/>
      <w:keepLines/>
      <w:numPr>
        <w:ilvl w:val="1"/>
        <w:numId w:val="1"/>
      </w:numPr>
      <w:spacing w:before="200" w:after="240" w:line="276" w:lineRule="auto"/>
      <w:outlineLvl w:val="1"/>
    </w:pPr>
    <w:rPr>
      <w:rFonts w:asciiTheme="majorHAnsi" w:eastAsiaTheme="majorEastAsia" w:hAnsiTheme="majorHAnsi" w:cstheme="majorBidi"/>
      <w:b/>
      <w:bCs/>
      <w:color w:val="5B9BD5" w:themeColor="accent1"/>
      <w:sz w:val="26"/>
      <w:szCs w:val="26"/>
      <w:lang w:eastAsia="tr-TR"/>
    </w:rPr>
  </w:style>
  <w:style w:type="paragraph" w:styleId="Heading3">
    <w:name w:val="heading 3"/>
    <w:basedOn w:val="Normal"/>
    <w:next w:val="Normal"/>
    <w:link w:val="Heading3Char"/>
    <w:uiPriority w:val="9"/>
    <w:unhideWhenUsed/>
    <w:qFormat/>
    <w:rsid w:val="00DD6389"/>
    <w:pPr>
      <w:keepNext/>
      <w:keepLines/>
      <w:numPr>
        <w:ilvl w:val="2"/>
        <w:numId w:val="1"/>
      </w:numPr>
      <w:spacing w:before="200" w:after="240" w:line="276" w:lineRule="auto"/>
      <w:outlineLvl w:val="2"/>
    </w:pPr>
    <w:rPr>
      <w:rFonts w:asciiTheme="majorHAnsi" w:eastAsiaTheme="majorEastAsia" w:hAnsiTheme="majorHAnsi" w:cstheme="majorBidi"/>
      <w:b/>
      <w:bCs/>
      <w:color w:val="5B9BD5" w:themeColor="accent1"/>
      <w:lang w:eastAsia="tr-TR"/>
    </w:rPr>
  </w:style>
  <w:style w:type="paragraph" w:styleId="Heading5">
    <w:name w:val="heading 5"/>
    <w:basedOn w:val="Normal"/>
    <w:next w:val="Normal"/>
    <w:link w:val="Heading5Char"/>
    <w:uiPriority w:val="9"/>
    <w:unhideWhenUsed/>
    <w:qFormat/>
    <w:rsid w:val="00DD6389"/>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lang w:eastAsia="tr-TR"/>
    </w:rPr>
  </w:style>
  <w:style w:type="paragraph" w:styleId="Heading6">
    <w:name w:val="heading 6"/>
    <w:basedOn w:val="Normal"/>
    <w:next w:val="Normal"/>
    <w:link w:val="Heading6Char"/>
    <w:uiPriority w:val="9"/>
    <w:semiHidden/>
    <w:unhideWhenUsed/>
    <w:qFormat/>
    <w:rsid w:val="00DD6389"/>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lang w:eastAsia="tr-TR"/>
    </w:rPr>
  </w:style>
  <w:style w:type="paragraph" w:styleId="Heading7">
    <w:name w:val="heading 7"/>
    <w:basedOn w:val="Normal"/>
    <w:next w:val="Normal"/>
    <w:link w:val="Heading7Char"/>
    <w:uiPriority w:val="9"/>
    <w:semiHidden/>
    <w:unhideWhenUsed/>
    <w:qFormat/>
    <w:rsid w:val="00DD6389"/>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eastAsia="tr-TR"/>
    </w:rPr>
  </w:style>
  <w:style w:type="paragraph" w:styleId="Heading8">
    <w:name w:val="heading 8"/>
    <w:basedOn w:val="Normal"/>
    <w:next w:val="Normal"/>
    <w:link w:val="Heading8Char"/>
    <w:uiPriority w:val="9"/>
    <w:semiHidden/>
    <w:unhideWhenUsed/>
    <w:qFormat/>
    <w:rsid w:val="00DD6389"/>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eastAsia="tr-TR"/>
    </w:rPr>
  </w:style>
  <w:style w:type="paragraph" w:styleId="Heading9">
    <w:name w:val="heading 9"/>
    <w:basedOn w:val="Normal"/>
    <w:next w:val="Normal"/>
    <w:link w:val="Heading9Char"/>
    <w:uiPriority w:val="9"/>
    <w:semiHidden/>
    <w:unhideWhenUsed/>
    <w:qFormat/>
    <w:rsid w:val="00DD6389"/>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3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389"/>
  </w:style>
  <w:style w:type="paragraph" w:styleId="Footer">
    <w:name w:val="footer"/>
    <w:basedOn w:val="Normal"/>
    <w:link w:val="FooterChar"/>
    <w:uiPriority w:val="99"/>
    <w:unhideWhenUsed/>
    <w:rsid w:val="00DD63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389"/>
  </w:style>
  <w:style w:type="character" w:customStyle="1" w:styleId="Heading1Char">
    <w:name w:val="Heading 1 Char"/>
    <w:basedOn w:val="DefaultParagraphFont"/>
    <w:link w:val="Heading1"/>
    <w:uiPriority w:val="9"/>
    <w:rsid w:val="00DD6389"/>
    <w:rPr>
      <w:rFonts w:asciiTheme="majorHAnsi" w:eastAsiaTheme="majorEastAsia" w:hAnsiTheme="majorHAnsi" w:cstheme="majorBidi"/>
      <w:b/>
      <w:bCs/>
      <w:color w:val="2E74B5" w:themeColor="accent1" w:themeShade="BF"/>
      <w:sz w:val="28"/>
      <w:szCs w:val="28"/>
      <w:lang w:eastAsia="tr-TR"/>
    </w:rPr>
  </w:style>
  <w:style w:type="character" w:customStyle="1" w:styleId="Heading2Char">
    <w:name w:val="Heading 2 Char"/>
    <w:basedOn w:val="DefaultParagraphFont"/>
    <w:link w:val="Heading2"/>
    <w:uiPriority w:val="9"/>
    <w:rsid w:val="00DD6389"/>
    <w:rPr>
      <w:rFonts w:asciiTheme="majorHAnsi" w:eastAsiaTheme="majorEastAsia" w:hAnsiTheme="majorHAnsi" w:cstheme="majorBidi"/>
      <w:b/>
      <w:bCs/>
      <w:color w:val="5B9BD5" w:themeColor="accent1"/>
      <w:sz w:val="26"/>
      <w:szCs w:val="26"/>
      <w:lang w:eastAsia="tr-TR"/>
    </w:rPr>
  </w:style>
  <w:style w:type="character" w:customStyle="1" w:styleId="Heading3Char">
    <w:name w:val="Heading 3 Char"/>
    <w:basedOn w:val="DefaultParagraphFont"/>
    <w:link w:val="Heading3"/>
    <w:uiPriority w:val="9"/>
    <w:rsid w:val="00DD6389"/>
    <w:rPr>
      <w:rFonts w:asciiTheme="majorHAnsi" w:eastAsiaTheme="majorEastAsia" w:hAnsiTheme="majorHAnsi" w:cstheme="majorBidi"/>
      <w:b/>
      <w:bCs/>
      <w:color w:val="5B9BD5" w:themeColor="accent1"/>
      <w:lang w:eastAsia="tr-TR"/>
    </w:rPr>
  </w:style>
  <w:style w:type="character" w:customStyle="1" w:styleId="Heading5Char">
    <w:name w:val="Heading 5 Char"/>
    <w:basedOn w:val="DefaultParagraphFont"/>
    <w:link w:val="Heading5"/>
    <w:uiPriority w:val="9"/>
    <w:rsid w:val="00DD6389"/>
    <w:rPr>
      <w:rFonts w:asciiTheme="majorHAnsi" w:eastAsiaTheme="majorEastAsia" w:hAnsiTheme="majorHAnsi" w:cstheme="majorBidi"/>
      <w:color w:val="1F4D78" w:themeColor="accent1" w:themeShade="7F"/>
      <w:lang w:eastAsia="tr-TR"/>
    </w:rPr>
  </w:style>
  <w:style w:type="character" w:customStyle="1" w:styleId="Heading6Char">
    <w:name w:val="Heading 6 Char"/>
    <w:basedOn w:val="DefaultParagraphFont"/>
    <w:link w:val="Heading6"/>
    <w:uiPriority w:val="9"/>
    <w:semiHidden/>
    <w:rsid w:val="00DD6389"/>
    <w:rPr>
      <w:rFonts w:asciiTheme="majorHAnsi" w:eastAsiaTheme="majorEastAsia" w:hAnsiTheme="majorHAnsi" w:cstheme="majorBidi"/>
      <w:i/>
      <w:iCs/>
      <w:color w:val="1F4D78" w:themeColor="accent1" w:themeShade="7F"/>
      <w:lang w:eastAsia="tr-TR"/>
    </w:rPr>
  </w:style>
  <w:style w:type="character" w:customStyle="1" w:styleId="Heading7Char">
    <w:name w:val="Heading 7 Char"/>
    <w:basedOn w:val="DefaultParagraphFont"/>
    <w:link w:val="Heading7"/>
    <w:uiPriority w:val="9"/>
    <w:semiHidden/>
    <w:rsid w:val="00DD6389"/>
    <w:rPr>
      <w:rFonts w:asciiTheme="majorHAnsi" w:eastAsiaTheme="majorEastAsia" w:hAnsiTheme="majorHAnsi" w:cstheme="majorBidi"/>
      <w:i/>
      <w:iCs/>
      <w:color w:val="404040" w:themeColor="text1" w:themeTint="BF"/>
      <w:lang w:eastAsia="tr-TR"/>
    </w:rPr>
  </w:style>
  <w:style w:type="character" w:customStyle="1" w:styleId="Heading8Char">
    <w:name w:val="Heading 8 Char"/>
    <w:basedOn w:val="DefaultParagraphFont"/>
    <w:link w:val="Heading8"/>
    <w:uiPriority w:val="9"/>
    <w:semiHidden/>
    <w:rsid w:val="00DD6389"/>
    <w:rPr>
      <w:rFonts w:asciiTheme="majorHAnsi" w:eastAsiaTheme="majorEastAsia" w:hAnsiTheme="majorHAnsi" w:cstheme="majorBidi"/>
      <w:color w:val="404040" w:themeColor="text1" w:themeTint="BF"/>
      <w:sz w:val="20"/>
      <w:szCs w:val="20"/>
      <w:lang w:eastAsia="tr-TR"/>
    </w:rPr>
  </w:style>
  <w:style w:type="character" w:customStyle="1" w:styleId="Heading9Char">
    <w:name w:val="Heading 9 Char"/>
    <w:basedOn w:val="DefaultParagraphFont"/>
    <w:link w:val="Heading9"/>
    <w:uiPriority w:val="9"/>
    <w:semiHidden/>
    <w:rsid w:val="00DD6389"/>
    <w:rPr>
      <w:rFonts w:asciiTheme="majorHAnsi" w:eastAsiaTheme="majorEastAsia" w:hAnsiTheme="majorHAnsi" w:cstheme="majorBidi"/>
      <w:i/>
      <w:iCs/>
      <w:color w:val="404040" w:themeColor="text1" w:themeTint="BF"/>
      <w:sz w:val="20"/>
      <w:szCs w:val="20"/>
      <w:lang w:eastAsia="tr-TR"/>
    </w:rPr>
  </w:style>
  <w:style w:type="table" w:styleId="GridTable1Light-Accent5">
    <w:name w:val="Grid Table 1 Light Accent 5"/>
    <w:basedOn w:val="TableNormal"/>
    <w:uiPriority w:val="46"/>
    <w:rsid w:val="00DD638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HNpbmFuLmFraW5jaTwvVXNlck5hbWU+PERhdGVUaW1lPjExLjAzLjIwMjIgMTI6NDM6NDI8L0RhdGVUaW1lPjxMYWJlbFN0cmluZz5UYXNuaWYgRCYjeDEzMTsmI3gxNUY7JiN4MTMxOy1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Props1.xml><?xml version="1.0" encoding="utf-8"?>
<ds:datastoreItem xmlns:ds="http://schemas.openxmlformats.org/officeDocument/2006/customXml" ds:itemID="{FFAB30E1-980C-41FF-9327-04AA3A177DB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2D0B39A0-FF66-4E70-82C5-E1599CD2714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5549</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Sezer</dc:creator>
  <cp:keywords>Tasnif Dışı/Kişisel Veri içermez</cp:keywords>
  <dc:description/>
  <cp:lastModifiedBy>Yusuf Sinan Akıncı</cp:lastModifiedBy>
  <cp:revision>2</cp:revision>
  <cp:lastPrinted>2021-10-14T06:57:00Z</cp:lastPrinted>
  <dcterms:created xsi:type="dcterms:W3CDTF">2022-04-27T08:59:00Z</dcterms:created>
  <dcterms:modified xsi:type="dcterms:W3CDTF">2022-04-27T08:59:00Z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c5849226-b446-4713-ad47-72776bc5a0c3</vt:lpwstr>
  </property>
  <property fmtid="{D5CDD505-2E9C-101B-9397-08002B2CF9AE}" pid="3" name="bjSaver">
    <vt:lpwstr>bjIPbH16dGehuTTYQ9rIA/g7mFel6V81</vt:lpwstr>
  </property>
  <property fmtid="{D5CDD505-2E9C-101B-9397-08002B2CF9AE}" pid="4" name="bjDocumentSecurityLabel">
    <vt:lpwstr>Tasnif Dışı-Kişisel Veri içermez</vt:lpwstr>
  </property>
  <property fmtid="{D5CDD505-2E9C-101B-9397-08002B2CF9AE}" pid="5"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6" name="bjDocumentLabelXML-0">
    <vt:lpwstr>ames.com/2008/01/sie/internal/label"&gt;&lt;element uid="id_classification_nonbusiness" value="" /&gt;&lt;element uid="33d0dd8f-6291-44e9-90e9-e93e9e40d7e9" value="" /&gt;&lt;/sisl&gt;</vt:lpwstr>
  </property>
  <property fmtid="{D5CDD505-2E9C-101B-9397-08002B2CF9AE}" pid="7" name="bjLabelHistoryID">
    <vt:lpwstr>{FFAB30E1-980C-41FF-9327-04AA3A177DB0}</vt:lpwstr>
  </property>
</Properties>
</file>