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5763432" w:displacedByCustomXml="next"/>
    <w:sdt>
      <w:sdtPr>
        <w:rPr>
          <w:color w:val="5B9BD5" w:themeColor="accent1"/>
          <w:lang w:val="en-GB"/>
        </w:rPr>
        <w:id w:val="1858463336"/>
        <w:docPartObj>
          <w:docPartGallery w:val="Cover Pages"/>
          <w:docPartUnique/>
        </w:docPartObj>
      </w:sdtPr>
      <w:sdtEndPr>
        <w:rPr>
          <w:color w:val="FFFFFF" w:themeColor="background1"/>
        </w:rPr>
      </w:sdtEndPr>
      <w:sdtContent>
        <w:p w:rsidR="00E37FD8" w:rsidRPr="007266F8" w:rsidRDefault="00403D4D">
          <w:pPr>
            <w:pStyle w:val="NoSpacing"/>
            <w:spacing w:before="1540" w:after="240"/>
            <w:jc w:val="center"/>
            <w:rPr>
              <w:color w:val="5B9BD5" w:themeColor="accent1"/>
              <w:lang w:val="en-GB"/>
            </w:rPr>
          </w:pPr>
          <w:r>
            <w:rPr>
              <w:noProof/>
              <w:color w:val="5B9BD5" w:themeColor="accent1"/>
            </w:rPr>
            <mc:AlternateContent>
              <mc:Choice Requires="wps">
                <w:drawing>
                  <wp:anchor distT="0" distB="0" distL="114300" distR="114300" simplePos="0" relativeHeight="251663360" behindDoc="0" locked="0" layoutInCell="1" allowOverlap="1">
                    <wp:simplePos x="0" y="0"/>
                    <wp:positionH relativeFrom="margin">
                      <wp:posOffset>-189230</wp:posOffset>
                    </wp:positionH>
                    <wp:positionV relativeFrom="page">
                      <wp:posOffset>906145</wp:posOffset>
                    </wp:positionV>
                    <wp:extent cx="5759450" cy="1095375"/>
                    <wp:effectExtent l="0" t="0" r="0" b="0"/>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Tarih"/>
                                  <w:tag w:val=""/>
                                  <w:id w:val="2470508"/>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C44565" w:rsidRDefault="00C44565" w:rsidP="00EF285C">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C44565" w:rsidRPr="00E37FD8" w:rsidRDefault="00C44565" w:rsidP="00EF285C">
                                <w:pPr>
                                  <w:pStyle w:val="NoSpacing"/>
                                  <w:jc w:val="center"/>
                                  <w:rPr>
                                    <w:color w:val="5B9BD5" w:themeColor="accent1"/>
                                    <w:sz w:val="44"/>
                                  </w:rPr>
                                </w:pPr>
                                <w:sdt>
                                  <w:sdtPr>
                                    <w:rPr>
                                      <w:caps/>
                                      <w:color w:val="5B9BD5" w:themeColor="accent1"/>
                                      <w:sz w:val="44"/>
                                      <w:lang w:val="en-GB"/>
                                    </w:rPr>
                                    <w:alias w:val="Şirket"/>
                                    <w:tag w:val=""/>
                                    <w:id w:val="2470509"/>
                                    <w:dataBinding w:prefixMappings="xmlns:ns0='http://schemas.openxmlformats.org/officeDocument/2006/extended-properties' " w:xpath="/ns0:Properties[1]/ns0:Company[1]" w:storeItemID="{6668398D-A668-4E3E-A5EB-62B293D839F1}"/>
                                    <w:text/>
                                  </w:sdtPr>
                                  <w:sdtContent>
                                    <w:r w:rsidRPr="001B6096">
                                      <w:rPr>
                                        <w:caps/>
                                        <w:color w:val="5B9BD5" w:themeColor="accent1"/>
                                        <w:sz w:val="44"/>
                                        <w:lang w:val="en-GB"/>
                                      </w:rPr>
                                      <w:t>eNERJİ PİYASALARI İŞLETME ANONİM ŞİRKETİ ENERGY EXCHANGE ISTANBUL</w:t>
                                    </w:r>
                                  </w:sdtContent>
                                </w:sdt>
                              </w:p>
                              <w:p w:rsidR="00C44565" w:rsidRDefault="00C44565" w:rsidP="00EF285C">
                                <w:pPr>
                                  <w:pStyle w:val="NoSpacing"/>
                                  <w:jc w:val="center"/>
                                  <w:rPr>
                                    <w:color w:val="5B9BD5" w:themeColor="accent1"/>
                                  </w:rPr>
                                </w:pPr>
                                <w:sdt>
                                  <w:sdtPr>
                                    <w:rPr>
                                      <w:color w:val="5B9BD5" w:themeColor="accent1"/>
                                      <w:sz w:val="28"/>
                                    </w:rPr>
                                    <w:alias w:val="Adres"/>
                                    <w:tag w:val=""/>
                                    <w:id w:val="2470510"/>
                                    <w:showingPlcHdr/>
                                    <w:dataBinding w:prefixMappings="xmlns:ns0='http://schemas.microsoft.com/office/2006/coverPageProps' " w:xpath="/ns0:CoverPageProperties[1]/ns0:CompanyAddress[1]" w:storeItemID="{55AF091B-3C7A-41E3-B477-F2FDAA23CFDA}"/>
                                    <w:text/>
                                  </w:sdtPr>
                                  <w:sdtEndPr>
                                    <w:rPr>
                                      <w:sz w:val="22"/>
                                    </w:rPr>
                                  </w:sdtEndPr>
                                  <w:sdtContent>
                                    <w:r>
                                      <w:rPr>
                                        <w:color w:val="5B9BD5" w:themeColor="accent1"/>
                                        <w:sz w:val="28"/>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26" type="#_x0000_t202" style="position:absolute;left:0;text-align:left;margin-left:-14.9pt;margin-top:71.35pt;width:453.5pt;height:86.2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" filled="f" stroked="f" strokeweight=".5pt">
                    <v:path arrowok="t"/>
                    <v:textbox style="mso-fit-shape-to-text:t" inset="0,0,0,0">
                      <w:txbxContent>
                        <w:sdt>
                          <w:sdtPr>
                            <w:rPr>
                              <w:caps/>
                              <w:color w:val="5B9BD5" w:themeColor="accent1"/>
                              <w:sz w:val="28"/>
                              <w:szCs w:val="28"/>
                            </w:rPr>
                            <w:alias w:val="Tarih"/>
                            <w:tag w:val=""/>
                            <w:id w:val="2470508"/>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C44565" w:rsidRDefault="00C44565" w:rsidP="00EF285C">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C44565" w:rsidRPr="00E37FD8" w:rsidRDefault="00C44565" w:rsidP="00EF285C">
                          <w:pPr>
                            <w:pStyle w:val="NoSpacing"/>
                            <w:jc w:val="center"/>
                            <w:rPr>
                              <w:color w:val="5B9BD5" w:themeColor="accent1"/>
                              <w:sz w:val="44"/>
                            </w:rPr>
                          </w:pPr>
                          <w:sdt>
                            <w:sdtPr>
                              <w:rPr>
                                <w:caps/>
                                <w:color w:val="5B9BD5" w:themeColor="accent1"/>
                                <w:sz w:val="44"/>
                                <w:lang w:val="en-GB"/>
                              </w:rPr>
                              <w:alias w:val="Şirket"/>
                              <w:tag w:val=""/>
                              <w:id w:val="2470509"/>
                              <w:dataBinding w:prefixMappings="xmlns:ns0='http://schemas.openxmlformats.org/officeDocument/2006/extended-properties' " w:xpath="/ns0:Properties[1]/ns0:Company[1]" w:storeItemID="{6668398D-A668-4E3E-A5EB-62B293D839F1}"/>
                              <w:text/>
                            </w:sdtPr>
                            <w:sdtContent>
                              <w:r w:rsidRPr="001B6096">
                                <w:rPr>
                                  <w:caps/>
                                  <w:color w:val="5B9BD5" w:themeColor="accent1"/>
                                  <w:sz w:val="44"/>
                                  <w:lang w:val="en-GB"/>
                                </w:rPr>
                                <w:t>eNERJİ PİYASALARI İŞLETME ANONİM ŞİRKETİ ENERGY EXCHANGE ISTANBUL</w:t>
                              </w:r>
                            </w:sdtContent>
                          </w:sdt>
                        </w:p>
                        <w:p w:rsidR="00C44565" w:rsidRDefault="00C44565" w:rsidP="00EF285C">
                          <w:pPr>
                            <w:pStyle w:val="NoSpacing"/>
                            <w:jc w:val="center"/>
                            <w:rPr>
                              <w:color w:val="5B9BD5" w:themeColor="accent1"/>
                            </w:rPr>
                          </w:pPr>
                          <w:sdt>
                            <w:sdtPr>
                              <w:rPr>
                                <w:color w:val="5B9BD5" w:themeColor="accent1"/>
                                <w:sz w:val="28"/>
                              </w:rPr>
                              <w:alias w:val="Adres"/>
                              <w:tag w:val=""/>
                              <w:id w:val="2470510"/>
                              <w:showingPlcHdr/>
                              <w:dataBinding w:prefixMappings="xmlns:ns0='http://schemas.microsoft.com/office/2006/coverPageProps' " w:xpath="/ns0:CoverPageProperties[1]/ns0:CompanyAddress[1]" w:storeItemID="{55AF091B-3C7A-41E3-B477-F2FDAA23CFDA}"/>
                              <w:text/>
                            </w:sdtPr>
                            <w:sdtEndPr>
                              <w:rPr>
                                <w:sz w:val="22"/>
                              </w:rPr>
                            </w:sdtEndPr>
                            <w:sdtContent>
                              <w:r>
                                <w:rPr>
                                  <w:color w:val="5B9BD5" w:themeColor="accent1"/>
                                  <w:sz w:val="28"/>
                                </w:rPr>
                                <w:t xml:space="preserve">     </w:t>
                              </w:r>
                            </w:sdtContent>
                          </w:sdt>
                        </w:p>
                      </w:txbxContent>
                    </v:textbox>
                    <w10:wrap anchorx="margin" anchory="page"/>
                  </v:shape>
                </w:pict>
              </mc:Fallback>
            </mc:AlternateContent>
          </w:r>
        </w:p>
        <w:p w:rsidR="00E37FD8" w:rsidRPr="007266F8" w:rsidRDefault="00E37FD8" w:rsidP="00E37FD8">
          <w:pPr>
            <w:pStyle w:val="NoSpacing"/>
            <w:spacing w:before="1540" w:after="240"/>
            <w:rPr>
              <w:color w:val="5B9BD5" w:themeColor="accent1"/>
              <w:lang w:val="en-GB"/>
            </w:rPr>
          </w:pPr>
        </w:p>
        <w:sdt>
          <w:sdtPr>
            <w:rPr>
              <w:rFonts w:asciiTheme="majorHAnsi" w:eastAsiaTheme="majorEastAsia" w:hAnsiTheme="majorHAnsi" w:cstheme="majorBidi"/>
              <w:b/>
              <w:caps/>
              <w:color w:val="5B9BD5" w:themeColor="accent1"/>
              <w:sz w:val="72"/>
              <w:szCs w:val="72"/>
              <w:lang w:val="en-GB"/>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37FD8" w:rsidRPr="007266F8" w:rsidRDefault="001B6096" w:rsidP="001B6096">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80"/>
                  <w:szCs w:val="80"/>
                  <w:lang w:val="en-GB"/>
                </w:rPr>
              </w:pPr>
              <w:r w:rsidRPr="007266F8">
                <w:rPr>
                  <w:rFonts w:asciiTheme="majorHAnsi" w:eastAsiaTheme="majorEastAsia" w:hAnsiTheme="majorHAnsi" w:cstheme="majorBidi"/>
                  <w:b/>
                  <w:caps/>
                  <w:color w:val="5B9BD5" w:themeColor="accent1"/>
                  <w:sz w:val="72"/>
                  <w:szCs w:val="72"/>
                  <w:lang w:val="en-GB"/>
                </w:rPr>
                <w:t>power futures market</w:t>
              </w:r>
            </w:p>
          </w:sdtContent>
        </w:sdt>
        <w:p w:rsidR="00CB6E5A" w:rsidRPr="007266F8" w:rsidRDefault="00C44565" w:rsidP="001B6096">
          <w:pPr>
            <w:pStyle w:val="NoSpacing"/>
            <w:jc w:val="center"/>
            <w:rPr>
              <w:b/>
              <w:color w:val="5B9BD5" w:themeColor="accent1"/>
              <w:sz w:val="44"/>
              <w:szCs w:val="28"/>
              <w:lang w:val="en-GB"/>
            </w:rPr>
          </w:pPr>
          <w:sdt>
            <w:sdtPr>
              <w:rPr>
                <w:b/>
                <w:color w:val="5B9BD5" w:themeColor="accent1"/>
                <w:sz w:val="44"/>
                <w:szCs w:val="28"/>
                <w:lang w:val="en-GB"/>
              </w:rPr>
              <w:alias w:val="Altyazı"/>
              <w:tag w:val=""/>
              <w:id w:val="328029620"/>
              <w:dataBinding w:prefixMappings="xmlns:ns0='http://purl.org/dc/elements/1.1/' xmlns:ns1='http://schemas.openxmlformats.org/package/2006/metadata/core-properties' " w:xpath="/ns1:coreProperties[1]/ns0:subject[1]" w:storeItemID="{6C3C8BC8-F283-45AE-878A-BAB7291924A1}"/>
              <w:text/>
            </w:sdtPr>
            <w:sdtContent>
              <w:r w:rsidR="00403D4D">
                <w:rPr>
                  <w:b/>
                  <w:color w:val="5B9BD5" w:themeColor="accent1"/>
                  <w:sz w:val="44"/>
                  <w:szCs w:val="28"/>
                  <w:lang w:val="en-GB"/>
                </w:rPr>
                <w:t>Methodology for the Calculation of Market and Participant Position Limits</w:t>
              </w:r>
            </w:sdtContent>
          </w:sdt>
        </w:p>
        <w:p w:rsidR="00E37FD8" w:rsidRPr="007266F8" w:rsidRDefault="00CB6E5A" w:rsidP="00CB6E5A">
          <w:pPr>
            <w:pStyle w:val="NoSpacing"/>
            <w:jc w:val="center"/>
            <w:rPr>
              <w:b/>
              <w:color w:val="5B9BD5" w:themeColor="accent1"/>
              <w:sz w:val="44"/>
              <w:szCs w:val="28"/>
              <w:lang w:val="en-GB"/>
            </w:rPr>
          </w:pPr>
          <w:r w:rsidRPr="007266F8">
            <w:rPr>
              <w:b/>
              <w:color w:val="5B9BD5" w:themeColor="accent1"/>
              <w:sz w:val="24"/>
              <w:szCs w:val="28"/>
              <w:lang w:val="en-GB"/>
            </w:rPr>
            <w:t>12.10.2021</w:t>
          </w:r>
        </w:p>
        <w:p w:rsidR="00E37FD8" w:rsidRPr="007266F8" w:rsidRDefault="00E37FD8" w:rsidP="00E37FD8">
          <w:pPr>
            <w:pStyle w:val="NoSpacing"/>
            <w:spacing w:before="480"/>
            <w:jc w:val="center"/>
            <w:rPr>
              <w:color w:val="FFFFFF" w:themeColor="background1"/>
              <w:lang w:val="en-GB"/>
            </w:rPr>
          </w:pPr>
        </w:p>
        <w:p w:rsidR="00E37FD8" w:rsidRPr="007266F8" w:rsidRDefault="00E37FD8" w:rsidP="00EF285C">
          <w:pPr>
            <w:pStyle w:val="NoSpacing"/>
            <w:spacing w:before="480"/>
            <w:jc w:val="center"/>
            <w:rPr>
              <w:color w:val="FFFFFF" w:themeColor="background1"/>
              <w:lang w:val="en-GB"/>
            </w:rPr>
          </w:pPr>
          <w:r w:rsidRPr="007266F8">
            <w:rPr>
              <w:noProof/>
              <w:color w:val="FFFFFF" w:themeColor="background1"/>
            </w:rPr>
            <w:drawing>
              <wp:inline distT="0" distB="0" distL="0" distR="0">
                <wp:extent cx="4365559" cy="324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iaş_erk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5559" cy="3240000"/>
                        </a:xfrm>
                        <a:prstGeom prst="rect">
                          <a:avLst/>
                        </a:prstGeom>
                      </pic:spPr>
                    </pic:pic>
                  </a:graphicData>
                </a:graphic>
              </wp:inline>
            </w:drawing>
          </w:r>
        </w:p>
        <w:p w:rsidR="00E37FD8" w:rsidRPr="007266F8" w:rsidRDefault="00E37FD8" w:rsidP="00E37FD8">
          <w:pPr>
            <w:pStyle w:val="NoSpacing"/>
            <w:spacing w:before="480"/>
            <w:jc w:val="center"/>
            <w:rPr>
              <w:color w:val="5B9BD5" w:themeColor="accent1"/>
              <w:lang w:val="en-GB"/>
            </w:rPr>
          </w:pPr>
          <w:r w:rsidRPr="007266F8">
            <w:rPr>
              <w:color w:val="FFFFFF" w:themeColor="background1"/>
              <w:lang w:val="en-GB"/>
            </w:rPr>
            <w:br w:type="page"/>
          </w:r>
        </w:p>
      </w:sdtContent>
    </w:sdt>
    <w:sdt>
      <w:sdtPr>
        <w:rPr>
          <w:rFonts w:asciiTheme="minorHAnsi" w:eastAsiaTheme="minorHAnsi" w:hAnsiTheme="minorHAnsi" w:cstheme="minorBidi"/>
          <w:color w:val="auto"/>
          <w:sz w:val="22"/>
          <w:szCs w:val="22"/>
          <w:lang w:val="en-GB" w:eastAsia="en-US"/>
        </w:rPr>
        <w:id w:val="250932245"/>
        <w:docPartObj>
          <w:docPartGallery w:val="Table of Contents"/>
          <w:docPartUnique/>
        </w:docPartObj>
      </w:sdtPr>
      <w:sdtEndPr>
        <w:rPr>
          <w:b/>
          <w:bCs/>
        </w:rPr>
      </w:sdtEndPr>
      <w:sdtContent>
        <w:p w:rsidR="00A6554C" w:rsidRPr="007266F8" w:rsidRDefault="00C52985" w:rsidP="00C52985">
          <w:pPr>
            <w:pStyle w:val="TOCHeading"/>
            <w:rPr>
              <w:lang w:val="en-GB"/>
            </w:rPr>
          </w:pPr>
          <w:r w:rsidRPr="007266F8">
            <w:rPr>
              <w:lang w:val="en-GB"/>
            </w:rPr>
            <w:t xml:space="preserve">Table of Contents </w:t>
          </w:r>
        </w:p>
        <w:p w:rsidR="00B02060" w:rsidRDefault="00D00A6F">
          <w:pPr>
            <w:pStyle w:val="TOC1"/>
            <w:tabs>
              <w:tab w:val="left" w:pos="440"/>
              <w:tab w:val="right" w:leader="dot" w:pos="9062"/>
            </w:tabs>
            <w:rPr>
              <w:rFonts w:cstheme="minorBidi"/>
              <w:noProof/>
            </w:rPr>
          </w:pPr>
          <w:r w:rsidRPr="007266F8">
            <w:rPr>
              <w:b/>
              <w:bCs/>
              <w:lang w:val="en-GB"/>
            </w:rPr>
            <w:fldChar w:fldCharType="begin"/>
          </w:r>
          <w:r w:rsidR="00A6554C" w:rsidRPr="007266F8">
            <w:rPr>
              <w:b/>
              <w:bCs/>
              <w:lang w:val="en-GB"/>
            </w:rPr>
            <w:instrText xml:space="preserve"> TOC \o "1-3" \h \z \u </w:instrText>
          </w:r>
          <w:r w:rsidRPr="007266F8">
            <w:rPr>
              <w:b/>
              <w:bCs/>
              <w:lang w:val="en-GB"/>
            </w:rPr>
            <w:fldChar w:fldCharType="separate"/>
          </w:r>
          <w:hyperlink w:anchor="_Toc102051394" w:history="1">
            <w:r w:rsidR="00B02060" w:rsidRPr="000500A2">
              <w:rPr>
                <w:rStyle w:val="Hyperlink"/>
                <w:rFonts w:cstheme="majorHAnsi"/>
                <w:noProof/>
                <w:lang w:val="en-GB"/>
              </w:rPr>
              <w:t>1</w:t>
            </w:r>
            <w:r w:rsidR="00B02060">
              <w:rPr>
                <w:rFonts w:cstheme="minorBidi"/>
                <w:noProof/>
              </w:rPr>
              <w:tab/>
            </w:r>
            <w:r w:rsidR="00B02060" w:rsidRPr="000500A2">
              <w:rPr>
                <w:rStyle w:val="Hyperlink"/>
                <w:noProof/>
                <w:lang w:val="en-GB"/>
              </w:rPr>
              <w:t>Market and Participant Position Limits</w:t>
            </w:r>
            <w:r w:rsidR="00B02060">
              <w:rPr>
                <w:noProof/>
                <w:webHidden/>
              </w:rPr>
              <w:tab/>
            </w:r>
            <w:r w:rsidR="00B02060">
              <w:rPr>
                <w:noProof/>
                <w:webHidden/>
              </w:rPr>
              <w:fldChar w:fldCharType="begin"/>
            </w:r>
            <w:r w:rsidR="00B02060">
              <w:rPr>
                <w:noProof/>
                <w:webHidden/>
              </w:rPr>
              <w:instrText xml:space="preserve"> PAGEREF _Toc102051394 \h </w:instrText>
            </w:r>
            <w:r w:rsidR="00B02060">
              <w:rPr>
                <w:noProof/>
                <w:webHidden/>
              </w:rPr>
            </w:r>
            <w:r w:rsidR="00B02060">
              <w:rPr>
                <w:noProof/>
                <w:webHidden/>
              </w:rPr>
              <w:fldChar w:fldCharType="separate"/>
            </w:r>
            <w:r w:rsidR="00B02060">
              <w:rPr>
                <w:noProof/>
                <w:webHidden/>
              </w:rPr>
              <w:t>1</w:t>
            </w:r>
            <w:r w:rsidR="00B02060">
              <w:rPr>
                <w:noProof/>
                <w:webHidden/>
              </w:rPr>
              <w:fldChar w:fldCharType="end"/>
            </w:r>
          </w:hyperlink>
        </w:p>
        <w:p w:rsidR="00B02060" w:rsidRDefault="00B02060">
          <w:pPr>
            <w:pStyle w:val="TOC2"/>
            <w:tabs>
              <w:tab w:val="left" w:pos="880"/>
              <w:tab w:val="right" w:leader="dot" w:pos="9062"/>
            </w:tabs>
            <w:rPr>
              <w:rFonts w:cstheme="minorBidi"/>
              <w:noProof/>
            </w:rPr>
          </w:pPr>
          <w:hyperlink w:anchor="_Toc102051395" w:history="1">
            <w:r w:rsidRPr="000500A2">
              <w:rPr>
                <w:rStyle w:val="Hyperlink"/>
                <w:rFonts w:cstheme="majorHAnsi"/>
                <w:noProof/>
                <w:lang w:val="en-GB"/>
              </w:rPr>
              <w:t>1.1</w:t>
            </w:r>
            <w:r>
              <w:rPr>
                <w:rFonts w:cstheme="minorBidi"/>
                <w:noProof/>
              </w:rPr>
              <w:tab/>
            </w:r>
            <w:r w:rsidRPr="000500A2">
              <w:rPr>
                <w:rStyle w:val="Hyperlink"/>
                <w:rFonts w:cstheme="majorHAnsi"/>
                <w:noProof/>
                <w:lang w:val="en-GB"/>
              </w:rPr>
              <w:t>Market Position Limits</w:t>
            </w:r>
            <w:r>
              <w:rPr>
                <w:noProof/>
                <w:webHidden/>
              </w:rPr>
              <w:tab/>
            </w:r>
            <w:r>
              <w:rPr>
                <w:noProof/>
                <w:webHidden/>
              </w:rPr>
              <w:fldChar w:fldCharType="begin"/>
            </w:r>
            <w:r>
              <w:rPr>
                <w:noProof/>
                <w:webHidden/>
              </w:rPr>
              <w:instrText xml:space="preserve"> PAGEREF _Toc102051395 \h </w:instrText>
            </w:r>
            <w:r>
              <w:rPr>
                <w:noProof/>
                <w:webHidden/>
              </w:rPr>
            </w:r>
            <w:r>
              <w:rPr>
                <w:noProof/>
                <w:webHidden/>
              </w:rPr>
              <w:fldChar w:fldCharType="separate"/>
            </w:r>
            <w:r>
              <w:rPr>
                <w:noProof/>
                <w:webHidden/>
              </w:rPr>
              <w:t>1</w:t>
            </w:r>
            <w:r>
              <w:rPr>
                <w:noProof/>
                <w:webHidden/>
              </w:rPr>
              <w:fldChar w:fldCharType="end"/>
            </w:r>
          </w:hyperlink>
        </w:p>
        <w:p w:rsidR="00B02060" w:rsidRDefault="00B02060">
          <w:pPr>
            <w:pStyle w:val="TOC3"/>
            <w:tabs>
              <w:tab w:val="left" w:pos="1320"/>
              <w:tab w:val="right" w:leader="dot" w:pos="9062"/>
            </w:tabs>
            <w:rPr>
              <w:rFonts w:cstheme="minorBidi"/>
              <w:noProof/>
            </w:rPr>
          </w:pPr>
          <w:hyperlink w:anchor="_Toc102051396" w:history="1">
            <w:r w:rsidRPr="000500A2">
              <w:rPr>
                <w:rStyle w:val="Hyperlink"/>
                <w:rFonts w:cstheme="majorHAnsi"/>
                <w:noProof/>
                <w:lang w:val="en-GB"/>
              </w:rPr>
              <w:t>1.1.1</w:t>
            </w:r>
            <w:r>
              <w:rPr>
                <w:rFonts w:cstheme="minorBidi"/>
                <w:noProof/>
              </w:rPr>
              <w:tab/>
            </w:r>
            <w:r w:rsidRPr="000500A2">
              <w:rPr>
                <w:rStyle w:val="Hyperlink"/>
                <w:rFonts w:cstheme="majorHAnsi"/>
                <w:noProof/>
                <w:lang w:val="en-GB"/>
              </w:rPr>
              <w:t>Allocation of Market Position Limits among Delivery Periods</w:t>
            </w:r>
            <w:r>
              <w:rPr>
                <w:noProof/>
                <w:webHidden/>
              </w:rPr>
              <w:tab/>
            </w:r>
            <w:r>
              <w:rPr>
                <w:noProof/>
                <w:webHidden/>
              </w:rPr>
              <w:fldChar w:fldCharType="begin"/>
            </w:r>
            <w:r>
              <w:rPr>
                <w:noProof/>
                <w:webHidden/>
              </w:rPr>
              <w:instrText xml:space="preserve"> PAGEREF _Toc102051396 \h </w:instrText>
            </w:r>
            <w:r>
              <w:rPr>
                <w:noProof/>
                <w:webHidden/>
              </w:rPr>
            </w:r>
            <w:r>
              <w:rPr>
                <w:noProof/>
                <w:webHidden/>
              </w:rPr>
              <w:fldChar w:fldCharType="separate"/>
            </w:r>
            <w:r>
              <w:rPr>
                <w:noProof/>
                <w:webHidden/>
              </w:rPr>
              <w:t>2</w:t>
            </w:r>
            <w:r>
              <w:rPr>
                <w:noProof/>
                <w:webHidden/>
              </w:rPr>
              <w:fldChar w:fldCharType="end"/>
            </w:r>
          </w:hyperlink>
        </w:p>
        <w:p w:rsidR="00B02060" w:rsidRDefault="00B02060">
          <w:pPr>
            <w:pStyle w:val="TOC3"/>
            <w:tabs>
              <w:tab w:val="left" w:pos="1320"/>
              <w:tab w:val="right" w:leader="dot" w:pos="9062"/>
            </w:tabs>
            <w:rPr>
              <w:rFonts w:cstheme="minorBidi"/>
              <w:noProof/>
            </w:rPr>
          </w:pPr>
          <w:hyperlink w:anchor="_Toc102051397" w:history="1">
            <w:r w:rsidRPr="000500A2">
              <w:rPr>
                <w:rStyle w:val="Hyperlink"/>
                <w:rFonts w:cstheme="majorHAnsi"/>
                <w:noProof/>
                <w:lang w:val="en-GB"/>
              </w:rPr>
              <w:t>1.1.1</w:t>
            </w:r>
            <w:r>
              <w:rPr>
                <w:rFonts w:cstheme="minorBidi"/>
                <w:noProof/>
              </w:rPr>
              <w:tab/>
            </w:r>
            <w:r w:rsidRPr="000500A2">
              <w:rPr>
                <w:rStyle w:val="Hyperlink"/>
                <w:rFonts w:cstheme="majorHAnsi"/>
                <w:noProof/>
                <w:lang w:val="en-GB"/>
              </w:rPr>
              <w:t>Calculation of Market Position Limits for the Yearly Contracts</w:t>
            </w:r>
            <w:r>
              <w:rPr>
                <w:noProof/>
                <w:webHidden/>
              </w:rPr>
              <w:tab/>
            </w:r>
            <w:r>
              <w:rPr>
                <w:noProof/>
                <w:webHidden/>
              </w:rPr>
              <w:fldChar w:fldCharType="begin"/>
            </w:r>
            <w:r>
              <w:rPr>
                <w:noProof/>
                <w:webHidden/>
              </w:rPr>
              <w:instrText xml:space="preserve"> PAGEREF _Toc102051397 \h </w:instrText>
            </w:r>
            <w:r>
              <w:rPr>
                <w:noProof/>
                <w:webHidden/>
              </w:rPr>
            </w:r>
            <w:r>
              <w:rPr>
                <w:noProof/>
                <w:webHidden/>
              </w:rPr>
              <w:fldChar w:fldCharType="separate"/>
            </w:r>
            <w:r>
              <w:rPr>
                <w:noProof/>
                <w:webHidden/>
              </w:rPr>
              <w:t>2</w:t>
            </w:r>
            <w:r>
              <w:rPr>
                <w:noProof/>
                <w:webHidden/>
              </w:rPr>
              <w:fldChar w:fldCharType="end"/>
            </w:r>
          </w:hyperlink>
        </w:p>
        <w:p w:rsidR="00B02060" w:rsidRDefault="00B02060">
          <w:pPr>
            <w:pStyle w:val="TOC3"/>
            <w:tabs>
              <w:tab w:val="left" w:pos="1320"/>
              <w:tab w:val="right" w:leader="dot" w:pos="9062"/>
            </w:tabs>
            <w:rPr>
              <w:rFonts w:cstheme="minorBidi"/>
              <w:noProof/>
            </w:rPr>
          </w:pPr>
          <w:hyperlink w:anchor="_Toc102051398" w:history="1">
            <w:r w:rsidRPr="000500A2">
              <w:rPr>
                <w:rStyle w:val="Hyperlink"/>
                <w:rFonts w:cstheme="majorHAnsi"/>
                <w:noProof/>
                <w:lang w:val="en-GB"/>
              </w:rPr>
              <w:t>1.1.2</w:t>
            </w:r>
            <w:r>
              <w:rPr>
                <w:rFonts w:cstheme="minorBidi"/>
                <w:noProof/>
              </w:rPr>
              <w:tab/>
            </w:r>
            <w:r w:rsidRPr="000500A2">
              <w:rPr>
                <w:rStyle w:val="Hyperlink"/>
                <w:rFonts w:cstheme="majorHAnsi"/>
                <w:noProof/>
                <w:lang w:val="en-GB"/>
              </w:rPr>
              <w:t>Determination of Quarterly and Monthly Consumption Rates</w:t>
            </w:r>
            <w:r>
              <w:rPr>
                <w:noProof/>
                <w:webHidden/>
              </w:rPr>
              <w:tab/>
            </w:r>
            <w:r>
              <w:rPr>
                <w:noProof/>
                <w:webHidden/>
              </w:rPr>
              <w:fldChar w:fldCharType="begin"/>
            </w:r>
            <w:r>
              <w:rPr>
                <w:noProof/>
                <w:webHidden/>
              </w:rPr>
              <w:instrText xml:space="preserve"> PAGEREF _Toc102051398 \h </w:instrText>
            </w:r>
            <w:r>
              <w:rPr>
                <w:noProof/>
                <w:webHidden/>
              </w:rPr>
            </w:r>
            <w:r>
              <w:rPr>
                <w:noProof/>
                <w:webHidden/>
              </w:rPr>
              <w:fldChar w:fldCharType="separate"/>
            </w:r>
            <w:r>
              <w:rPr>
                <w:noProof/>
                <w:webHidden/>
              </w:rPr>
              <w:t>3</w:t>
            </w:r>
            <w:r>
              <w:rPr>
                <w:noProof/>
                <w:webHidden/>
              </w:rPr>
              <w:fldChar w:fldCharType="end"/>
            </w:r>
          </w:hyperlink>
        </w:p>
        <w:p w:rsidR="00B02060" w:rsidRDefault="00B02060">
          <w:pPr>
            <w:pStyle w:val="TOC3"/>
            <w:tabs>
              <w:tab w:val="left" w:pos="1320"/>
              <w:tab w:val="right" w:leader="dot" w:pos="9062"/>
            </w:tabs>
            <w:rPr>
              <w:rFonts w:cstheme="minorBidi"/>
              <w:noProof/>
            </w:rPr>
          </w:pPr>
          <w:hyperlink w:anchor="_Toc102051399" w:history="1">
            <w:r w:rsidRPr="000500A2">
              <w:rPr>
                <w:rStyle w:val="Hyperlink"/>
                <w:rFonts w:cstheme="majorHAnsi"/>
                <w:noProof/>
                <w:lang w:val="en-GB"/>
              </w:rPr>
              <w:t>1.1.3</w:t>
            </w:r>
            <w:r>
              <w:rPr>
                <w:rFonts w:cstheme="minorBidi"/>
                <w:noProof/>
              </w:rPr>
              <w:tab/>
            </w:r>
            <w:r w:rsidRPr="000500A2">
              <w:rPr>
                <w:rStyle w:val="Hyperlink"/>
                <w:rFonts w:cstheme="majorHAnsi"/>
                <w:noProof/>
                <w:lang w:val="en-GB"/>
              </w:rPr>
              <w:t>Calculation of Market Position Limits for the Quarterly Contracts</w:t>
            </w:r>
            <w:r>
              <w:rPr>
                <w:noProof/>
                <w:webHidden/>
              </w:rPr>
              <w:tab/>
            </w:r>
            <w:r>
              <w:rPr>
                <w:noProof/>
                <w:webHidden/>
              </w:rPr>
              <w:fldChar w:fldCharType="begin"/>
            </w:r>
            <w:r>
              <w:rPr>
                <w:noProof/>
                <w:webHidden/>
              </w:rPr>
              <w:instrText xml:space="preserve"> PAGEREF _Toc102051399 \h </w:instrText>
            </w:r>
            <w:r>
              <w:rPr>
                <w:noProof/>
                <w:webHidden/>
              </w:rPr>
            </w:r>
            <w:r>
              <w:rPr>
                <w:noProof/>
                <w:webHidden/>
              </w:rPr>
              <w:fldChar w:fldCharType="separate"/>
            </w:r>
            <w:r>
              <w:rPr>
                <w:noProof/>
                <w:webHidden/>
              </w:rPr>
              <w:t>3</w:t>
            </w:r>
            <w:r>
              <w:rPr>
                <w:noProof/>
                <w:webHidden/>
              </w:rPr>
              <w:fldChar w:fldCharType="end"/>
            </w:r>
          </w:hyperlink>
        </w:p>
        <w:p w:rsidR="00B02060" w:rsidRDefault="00B02060">
          <w:pPr>
            <w:pStyle w:val="TOC3"/>
            <w:tabs>
              <w:tab w:val="left" w:pos="1320"/>
              <w:tab w:val="right" w:leader="dot" w:pos="9062"/>
            </w:tabs>
            <w:rPr>
              <w:rFonts w:cstheme="minorBidi"/>
              <w:noProof/>
            </w:rPr>
          </w:pPr>
          <w:hyperlink w:anchor="_Toc102051400" w:history="1">
            <w:r w:rsidRPr="000500A2">
              <w:rPr>
                <w:rStyle w:val="Hyperlink"/>
                <w:rFonts w:cstheme="majorHAnsi"/>
                <w:noProof/>
                <w:lang w:val="en-GB"/>
              </w:rPr>
              <w:t>1.1.4</w:t>
            </w:r>
            <w:r>
              <w:rPr>
                <w:rFonts w:cstheme="minorBidi"/>
                <w:noProof/>
              </w:rPr>
              <w:tab/>
            </w:r>
            <w:r w:rsidRPr="000500A2">
              <w:rPr>
                <w:rStyle w:val="Hyperlink"/>
                <w:rFonts w:cstheme="majorHAnsi"/>
                <w:noProof/>
                <w:lang w:val="en-GB"/>
              </w:rPr>
              <w:t>Calculation of Market Position Limits for the Monthly Contracts</w:t>
            </w:r>
            <w:r>
              <w:rPr>
                <w:noProof/>
                <w:webHidden/>
              </w:rPr>
              <w:tab/>
            </w:r>
            <w:r>
              <w:rPr>
                <w:noProof/>
                <w:webHidden/>
              </w:rPr>
              <w:fldChar w:fldCharType="begin"/>
            </w:r>
            <w:r>
              <w:rPr>
                <w:noProof/>
                <w:webHidden/>
              </w:rPr>
              <w:instrText xml:space="preserve"> PAGEREF _Toc102051400 \h </w:instrText>
            </w:r>
            <w:r>
              <w:rPr>
                <w:noProof/>
                <w:webHidden/>
              </w:rPr>
            </w:r>
            <w:r>
              <w:rPr>
                <w:noProof/>
                <w:webHidden/>
              </w:rPr>
              <w:fldChar w:fldCharType="separate"/>
            </w:r>
            <w:r>
              <w:rPr>
                <w:noProof/>
                <w:webHidden/>
              </w:rPr>
              <w:t>4</w:t>
            </w:r>
            <w:r>
              <w:rPr>
                <w:noProof/>
                <w:webHidden/>
              </w:rPr>
              <w:fldChar w:fldCharType="end"/>
            </w:r>
          </w:hyperlink>
        </w:p>
        <w:p w:rsidR="00B02060" w:rsidRDefault="00B02060">
          <w:pPr>
            <w:pStyle w:val="TOC3"/>
            <w:tabs>
              <w:tab w:val="left" w:pos="1320"/>
              <w:tab w:val="right" w:leader="dot" w:pos="9062"/>
            </w:tabs>
            <w:rPr>
              <w:rFonts w:cstheme="minorBidi"/>
              <w:noProof/>
            </w:rPr>
          </w:pPr>
          <w:hyperlink w:anchor="_Toc102051401" w:history="1">
            <w:r w:rsidRPr="000500A2">
              <w:rPr>
                <w:rStyle w:val="Hyperlink"/>
                <w:rFonts w:cstheme="majorHAnsi"/>
                <w:noProof/>
                <w:lang w:val="en-GB"/>
              </w:rPr>
              <w:t>1.1.5</w:t>
            </w:r>
            <w:r>
              <w:rPr>
                <w:rFonts w:cstheme="minorBidi"/>
                <w:noProof/>
              </w:rPr>
              <w:tab/>
            </w:r>
            <w:r w:rsidRPr="000500A2">
              <w:rPr>
                <w:rStyle w:val="Hyperlink"/>
                <w:rFonts w:cstheme="majorHAnsi"/>
                <w:noProof/>
                <w:lang w:val="en-GB"/>
              </w:rPr>
              <w:t>Cascading Operation and Market Position Limits</w:t>
            </w:r>
            <w:r>
              <w:rPr>
                <w:noProof/>
                <w:webHidden/>
              </w:rPr>
              <w:tab/>
            </w:r>
            <w:r>
              <w:rPr>
                <w:noProof/>
                <w:webHidden/>
              </w:rPr>
              <w:fldChar w:fldCharType="begin"/>
            </w:r>
            <w:r>
              <w:rPr>
                <w:noProof/>
                <w:webHidden/>
              </w:rPr>
              <w:instrText xml:space="preserve"> PAGEREF _Toc102051401 \h </w:instrText>
            </w:r>
            <w:r>
              <w:rPr>
                <w:noProof/>
                <w:webHidden/>
              </w:rPr>
            </w:r>
            <w:r>
              <w:rPr>
                <w:noProof/>
                <w:webHidden/>
              </w:rPr>
              <w:fldChar w:fldCharType="separate"/>
            </w:r>
            <w:r>
              <w:rPr>
                <w:noProof/>
                <w:webHidden/>
              </w:rPr>
              <w:t>4</w:t>
            </w:r>
            <w:r>
              <w:rPr>
                <w:noProof/>
                <w:webHidden/>
              </w:rPr>
              <w:fldChar w:fldCharType="end"/>
            </w:r>
          </w:hyperlink>
        </w:p>
        <w:p w:rsidR="00B02060" w:rsidRDefault="00B02060">
          <w:pPr>
            <w:pStyle w:val="TOC3"/>
            <w:tabs>
              <w:tab w:val="left" w:pos="1320"/>
              <w:tab w:val="right" w:leader="dot" w:pos="9062"/>
            </w:tabs>
            <w:rPr>
              <w:rFonts w:cstheme="minorBidi"/>
              <w:noProof/>
            </w:rPr>
          </w:pPr>
          <w:hyperlink w:anchor="_Toc102051402" w:history="1">
            <w:r w:rsidRPr="000500A2">
              <w:rPr>
                <w:rStyle w:val="Hyperlink"/>
                <w:rFonts w:cstheme="majorHAnsi"/>
                <w:noProof/>
                <w:lang w:val="en-GB"/>
              </w:rPr>
              <w:t>1.1.6</w:t>
            </w:r>
            <w:r>
              <w:rPr>
                <w:rFonts w:cstheme="minorBidi"/>
                <w:noProof/>
              </w:rPr>
              <w:tab/>
            </w:r>
            <w:r w:rsidRPr="000500A2">
              <w:rPr>
                <w:rStyle w:val="Hyperlink"/>
                <w:rFonts w:cstheme="majorHAnsi"/>
                <w:noProof/>
                <w:lang w:val="en-GB"/>
              </w:rPr>
              <w:t>D</w:t>
            </w:r>
            <w:bookmarkStart w:id="1" w:name="_GoBack"/>
            <w:bookmarkEnd w:id="1"/>
            <w:r w:rsidRPr="000500A2">
              <w:rPr>
                <w:rStyle w:val="Hyperlink"/>
                <w:rFonts w:cstheme="majorHAnsi"/>
                <w:noProof/>
                <w:lang w:val="en-GB"/>
              </w:rPr>
              <w:t>etermination of Market Position Limits for the Balance of Month (BOM) Contracts</w:t>
            </w:r>
            <w:r>
              <w:rPr>
                <w:noProof/>
                <w:webHidden/>
              </w:rPr>
              <w:tab/>
            </w:r>
            <w:r>
              <w:rPr>
                <w:noProof/>
                <w:webHidden/>
              </w:rPr>
              <w:fldChar w:fldCharType="begin"/>
            </w:r>
            <w:r>
              <w:rPr>
                <w:noProof/>
                <w:webHidden/>
              </w:rPr>
              <w:instrText xml:space="preserve"> PAGEREF _Toc102051402 \h </w:instrText>
            </w:r>
            <w:r>
              <w:rPr>
                <w:noProof/>
                <w:webHidden/>
              </w:rPr>
            </w:r>
            <w:r>
              <w:rPr>
                <w:noProof/>
                <w:webHidden/>
              </w:rPr>
              <w:fldChar w:fldCharType="separate"/>
            </w:r>
            <w:r>
              <w:rPr>
                <w:noProof/>
                <w:webHidden/>
              </w:rPr>
              <w:t>5</w:t>
            </w:r>
            <w:r>
              <w:rPr>
                <w:noProof/>
                <w:webHidden/>
              </w:rPr>
              <w:fldChar w:fldCharType="end"/>
            </w:r>
          </w:hyperlink>
        </w:p>
        <w:p w:rsidR="00B02060" w:rsidRDefault="00B02060">
          <w:pPr>
            <w:pStyle w:val="TOC2"/>
            <w:tabs>
              <w:tab w:val="left" w:pos="880"/>
              <w:tab w:val="right" w:leader="dot" w:pos="9062"/>
            </w:tabs>
            <w:rPr>
              <w:rFonts w:cstheme="minorBidi"/>
              <w:noProof/>
            </w:rPr>
          </w:pPr>
          <w:hyperlink w:anchor="_Toc102051403" w:history="1">
            <w:r w:rsidRPr="000500A2">
              <w:rPr>
                <w:rStyle w:val="Hyperlink"/>
                <w:rFonts w:cstheme="majorHAnsi"/>
                <w:noProof/>
                <w:lang w:val="en-GB"/>
              </w:rPr>
              <w:t>1.2</w:t>
            </w:r>
            <w:r>
              <w:rPr>
                <w:rFonts w:cstheme="minorBidi"/>
                <w:noProof/>
              </w:rPr>
              <w:tab/>
            </w:r>
            <w:r w:rsidRPr="000500A2">
              <w:rPr>
                <w:rStyle w:val="Hyperlink"/>
                <w:rFonts w:cstheme="majorHAnsi"/>
                <w:noProof/>
                <w:lang w:val="en-GB"/>
              </w:rPr>
              <w:t>Determination of Participant Position Limits</w:t>
            </w:r>
            <w:r>
              <w:rPr>
                <w:noProof/>
                <w:webHidden/>
              </w:rPr>
              <w:tab/>
            </w:r>
            <w:r>
              <w:rPr>
                <w:noProof/>
                <w:webHidden/>
              </w:rPr>
              <w:fldChar w:fldCharType="begin"/>
            </w:r>
            <w:r>
              <w:rPr>
                <w:noProof/>
                <w:webHidden/>
              </w:rPr>
              <w:instrText xml:space="preserve"> PAGEREF _Toc102051403 \h </w:instrText>
            </w:r>
            <w:r>
              <w:rPr>
                <w:noProof/>
                <w:webHidden/>
              </w:rPr>
            </w:r>
            <w:r>
              <w:rPr>
                <w:noProof/>
                <w:webHidden/>
              </w:rPr>
              <w:fldChar w:fldCharType="separate"/>
            </w:r>
            <w:r>
              <w:rPr>
                <w:noProof/>
                <w:webHidden/>
              </w:rPr>
              <w:t>6</w:t>
            </w:r>
            <w:r>
              <w:rPr>
                <w:noProof/>
                <w:webHidden/>
              </w:rPr>
              <w:fldChar w:fldCharType="end"/>
            </w:r>
          </w:hyperlink>
        </w:p>
        <w:p w:rsidR="00F04A6C" w:rsidRPr="007266F8" w:rsidRDefault="00D00A6F" w:rsidP="00F04A6C">
          <w:pPr>
            <w:rPr>
              <w:b/>
              <w:bCs/>
              <w:lang w:val="en-GB"/>
            </w:rPr>
          </w:pPr>
          <w:r w:rsidRPr="007266F8">
            <w:rPr>
              <w:b/>
              <w:bCs/>
              <w:lang w:val="en-GB"/>
            </w:rPr>
            <w:fldChar w:fldCharType="end"/>
          </w:r>
        </w:p>
      </w:sdtContent>
    </w:sdt>
    <w:p w:rsidR="00F04A6C" w:rsidRPr="007266F8" w:rsidRDefault="00DD6C37">
      <w:pPr>
        <w:pStyle w:val="TableofFigures"/>
        <w:tabs>
          <w:tab w:val="right" w:leader="underscore" w:pos="9062"/>
        </w:tabs>
        <w:rPr>
          <w:rFonts w:asciiTheme="majorHAnsi" w:eastAsiaTheme="majorEastAsia" w:hAnsiTheme="majorHAnsi" w:cstheme="majorBidi"/>
          <w:i w:val="0"/>
          <w:iCs w:val="0"/>
          <w:color w:val="2E74B5" w:themeColor="accent1" w:themeShade="BF"/>
          <w:sz w:val="32"/>
          <w:szCs w:val="32"/>
          <w:lang w:val="en-GB" w:eastAsia="tr-TR"/>
        </w:rPr>
      </w:pPr>
      <w:r w:rsidRPr="007266F8">
        <w:rPr>
          <w:rFonts w:asciiTheme="majorHAnsi" w:eastAsiaTheme="majorEastAsia" w:hAnsiTheme="majorHAnsi" w:cstheme="majorBidi"/>
          <w:i w:val="0"/>
          <w:iCs w:val="0"/>
          <w:color w:val="2E74B5" w:themeColor="accent1" w:themeShade="BF"/>
          <w:sz w:val="32"/>
          <w:szCs w:val="32"/>
          <w:lang w:val="en-GB" w:eastAsia="tr-TR"/>
        </w:rPr>
        <w:t xml:space="preserve">Tables </w:t>
      </w:r>
    </w:p>
    <w:p w:rsidR="00B02060" w:rsidRDefault="00D00A6F">
      <w:pPr>
        <w:pStyle w:val="TableofFigures"/>
        <w:tabs>
          <w:tab w:val="right" w:leader="underscore" w:pos="9062"/>
        </w:tabs>
        <w:rPr>
          <w:rFonts w:eastAsiaTheme="minorEastAsia" w:cstheme="minorBidi"/>
          <w:i w:val="0"/>
          <w:iCs w:val="0"/>
          <w:noProof/>
          <w:sz w:val="22"/>
          <w:szCs w:val="22"/>
          <w:lang w:eastAsia="tr-TR"/>
        </w:rPr>
      </w:pPr>
      <w:r w:rsidRPr="007266F8">
        <w:rPr>
          <w:rFonts w:cstheme="majorHAnsi"/>
          <w:lang w:val="en-GB"/>
        </w:rPr>
        <w:fldChar w:fldCharType="begin"/>
      </w:r>
      <w:r w:rsidR="00A6554C" w:rsidRPr="007266F8">
        <w:rPr>
          <w:rFonts w:cstheme="majorHAnsi"/>
          <w:lang w:val="en-GB"/>
        </w:rPr>
        <w:instrText xml:space="preserve"> TOC \h \z \c "Tablo" </w:instrText>
      </w:r>
      <w:r w:rsidRPr="007266F8">
        <w:rPr>
          <w:rFonts w:cstheme="majorHAnsi"/>
          <w:lang w:val="en-GB"/>
        </w:rPr>
        <w:fldChar w:fldCharType="separate"/>
      </w:r>
      <w:hyperlink w:anchor="_Toc102051368" w:history="1">
        <w:r w:rsidR="00B02060" w:rsidRPr="008B7571">
          <w:rPr>
            <w:rStyle w:val="Hyperlink"/>
            <w:noProof/>
            <w:lang w:val="en-GB"/>
          </w:rPr>
          <w:t>Table 1 Electricity Consumption Estimate (TWh) for 2021 as contained in the Report on Projection of Electricity Energy Demand in Turkey</w:t>
        </w:r>
        <w:r w:rsidR="00B02060">
          <w:rPr>
            <w:noProof/>
            <w:webHidden/>
          </w:rPr>
          <w:tab/>
        </w:r>
        <w:r w:rsidR="00B02060">
          <w:rPr>
            <w:noProof/>
            <w:webHidden/>
          </w:rPr>
          <w:fldChar w:fldCharType="begin"/>
        </w:r>
        <w:r w:rsidR="00B02060">
          <w:rPr>
            <w:noProof/>
            <w:webHidden/>
          </w:rPr>
          <w:instrText xml:space="preserve"> PAGEREF _Toc102051368 \h </w:instrText>
        </w:r>
        <w:r w:rsidR="00B02060">
          <w:rPr>
            <w:noProof/>
            <w:webHidden/>
          </w:rPr>
        </w:r>
        <w:r w:rsidR="00B02060">
          <w:rPr>
            <w:noProof/>
            <w:webHidden/>
          </w:rPr>
          <w:fldChar w:fldCharType="separate"/>
        </w:r>
        <w:r w:rsidR="00B02060">
          <w:rPr>
            <w:noProof/>
            <w:webHidden/>
          </w:rPr>
          <w:t>2</w:t>
        </w:r>
        <w:r w:rsidR="00B02060">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69" w:history="1">
        <w:r w:rsidRPr="008B7571">
          <w:rPr>
            <w:rStyle w:val="Hyperlink"/>
            <w:noProof/>
            <w:lang w:val="en-GB"/>
          </w:rPr>
          <w:t>Table 2 Shares of Market Position Limit on Delivery Period Basis</w:t>
        </w:r>
        <w:r>
          <w:rPr>
            <w:noProof/>
            <w:webHidden/>
          </w:rPr>
          <w:tab/>
        </w:r>
        <w:r>
          <w:rPr>
            <w:noProof/>
            <w:webHidden/>
          </w:rPr>
          <w:fldChar w:fldCharType="begin"/>
        </w:r>
        <w:r>
          <w:rPr>
            <w:noProof/>
            <w:webHidden/>
          </w:rPr>
          <w:instrText xml:space="preserve"> PAGEREF _Toc102051369 \h </w:instrText>
        </w:r>
        <w:r>
          <w:rPr>
            <w:noProof/>
            <w:webHidden/>
          </w:rPr>
        </w:r>
        <w:r>
          <w:rPr>
            <w:noProof/>
            <w:webHidden/>
          </w:rPr>
          <w:fldChar w:fldCharType="separate"/>
        </w:r>
        <w:r>
          <w:rPr>
            <w:noProof/>
            <w:webHidden/>
          </w:rPr>
          <w:t>2</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0" w:history="1">
        <w:r w:rsidRPr="008B7571">
          <w:rPr>
            <w:rStyle w:val="Hyperlink"/>
            <w:noProof/>
            <w:lang w:val="en-GB"/>
          </w:rPr>
          <w:t>Table 3 Allocation of Total Market Limits to Maturity Types</w:t>
        </w:r>
        <w:r>
          <w:rPr>
            <w:noProof/>
            <w:webHidden/>
          </w:rPr>
          <w:tab/>
        </w:r>
        <w:r>
          <w:rPr>
            <w:noProof/>
            <w:webHidden/>
          </w:rPr>
          <w:fldChar w:fldCharType="begin"/>
        </w:r>
        <w:r>
          <w:rPr>
            <w:noProof/>
            <w:webHidden/>
          </w:rPr>
          <w:instrText xml:space="preserve"> PAGEREF _Toc102051370 \h </w:instrText>
        </w:r>
        <w:r>
          <w:rPr>
            <w:noProof/>
            <w:webHidden/>
          </w:rPr>
        </w:r>
        <w:r>
          <w:rPr>
            <w:noProof/>
            <w:webHidden/>
          </w:rPr>
          <w:fldChar w:fldCharType="separate"/>
        </w:r>
        <w:r>
          <w:rPr>
            <w:noProof/>
            <w:webHidden/>
          </w:rPr>
          <w:t>2</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1" w:history="1">
        <w:r w:rsidRPr="008B7571">
          <w:rPr>
            <w:rStyle w:val="Hyperlink"/>
            <w:noProof/>
            <w:lang w:val="en-GB"/>
          </w:rPr>
          <w:t>Table 4 Market Position Limits for the Yearly Contracts</w:t>
        </w:r>
        <w:r>
          <w:rPr>
            <w:noProof/>
            <w:webHidden/>
          </w:rPr>
          <w:tab/>
        </w:r>
        <w:r>
          <w:rPr>
            <w:noProof/>
            <w:webHidden/>
          </w:rPr>
          <w:fldChar w:fldCharType="begin"/>
        </w:r>
        <w:r>
          <w:rPr>
            <w:noProof/>
            <w:webHidden/>
          </w:rPr>
          <w:instrText xml:space="preserve"> PAGEREF _Toc102051371 \h </w:instrText>
        </w:r>
        <w:r>
          <w:rPr>
            <w:noProof/>
            <w:webHidden/>
          </w:rPr>
        </w:r>
        <w:r>
          <w:rPr>
            <w:noProof/>
            <w:webHidden/>
          </w:rPr>
          <w:fldChar w:fldCharType="separate"/>
        </w:r>
        <w:r>
          <w:rPr>
            <w:noProof/>
            <w:webHidden/>
          </w:rPr>
          <w:t>3</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2" w:history="1">
        <w:r w:rsidRPr="008B7571">
          <w:rPr>
            <w:rStyle w:val="Hyperlink"/>
            <w:noProof/>
            <w:lang w:val="en-GB"/>
          </w:rPr>
          <w:t>Table 5 Quarterly and Monthly Consumption Characteristic Rates</w:t>
        </w:r>
        <w:r>
          <w:rPr>
            <w:noProof/>
            <w:webHidden/>
          </w:rPr>
          <w:tab/>
        </w:r>
        <w:r>
          <w:rPr>
            <w:noProof/>
            <w:webHidden/>
          </w:rPr>
          <w:fldChar w:fldCharType="begin"/>
        </w:r>
        <w:r>
          <w:rPr>
            <w:noProof/>
            <w:webHidden/>
          </w:rPr>
          <w:instrText xml:space="preserve"> PAGEREF _Toc102051372 \h </w:instrText>
        </w:r>
        <w:r>
          <w:rPr>
            <w:noProof/>
            <w:webHidden/>
          </w:rPr>
        </w:r>
        <w:r>
          <w:rPr>
            <w:noProof/>
            <w:webHidden/>
          </w:rPr>
          <w:fldChar w:fldCharType="separate"/>
        </w:r>
        <w:r>
          <w:rPr>
            <w:noProof/>
            <w:webHidden/>
          </w:rPr>
          <w:t>3</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3" w:history="1">
        <w:r w:rsidRPr="008B7571">
          <w:rPr>
            <w:rStyle w:val="Hyperlink"/>
            <w:noProof/>
            <w:lang w:val="en-GB"/>
          </w:rPr>
          <w:t>Table 6 Market Position Limits for the Quarterly Contracts</w:t>
        </w:r>
        <w:r>
          <w:rPr>
            <w:noProof/>
            <w:webHidden/>
          </w:rPr>
          <w:tab/>
        </w:r>
        <w:r>
          <w:rPr>
            <w:noProof/>
            <w:webHidden/>
          </w:rPr>
          <w:fldChar w:fldCharType="begin"/>
        </w:r>
        <w:r>
          <w:rPr>
            <w:noProof/>
            <w:webHidden/>
          </w:rPr>
          <w:instrText xml:space="preserve"> PAGEREF _Toc102051373 \h </w:instrText>
        </w:r>
        <w:r>
          <w:rPr>
            <w:noProof/>
            <w:webHidden/>
          </w:rPr>
        </w:r>
        <w:r>
          <w:rPr>
            <w:noProof/>
            <w:webHidden/>
          </w:rPr>
          <w:fldChar w:fldCharType="separate"/>
        </w:r>
        <w:r>
          <w:rPr>
            <w:noProof/>
            <w:webHidden/>
          </w:rPr>
          <w:t>3</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4" w:history="1">
        <w:r w:rsidRPr="008B7571">
          <w:rPr>
            <w:rStyle w:val="Hyperlink"/>
            <w:noProof/>
            <w:lang w:val="en-GB"/>
          </w:rPr>
          <w:t>Table 7 Market Position Limits for the Monthly Contracts</w:t>
        </w:r>
        <w:r>
          <w:rPr>
            <w:noProof/>
            <w:webHidden/>
          </w:rPr>
          <w:tab/>
        </w:r>
        <w:r>
          <w:rPr>
            <w:noProof/>
            <w:webHidden/>
          </w:rPr>
          <w:fldChar w:fldCharType="begin"/>
        </w:r>
        <w:r>
          <w:rPr>
            <w:noProof/>
            <w:webHidden/>
          </w:rPr>
          <w:instrText xml:space="preserve"> PAGEREF _Toc102051374 \h </w:instrText>
        </w:r>
        <w:r>
          <w:rPr>
            <w:noProof/>
            <w:webHidden/>
          </w:rPr>
        </w:r>
        <w:r>
          <w:rPr>
            <w:noProof/>
            <w:webHidden/>
          </w:rPr>
          <w:fldChar w:fldCharType="separate"/>
        </w:r>
        <w:r>
          <w:rPr>
            <w:noProof/>
            <w:webHidden/>
          </w:rPr>
          <w:t>4</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5" w:history="1">
        <w:r w:rsidRPr="008B7571">
          <w:rPr>
            <w:rStyle w:val="Hyperlink"/>
            <w:noProof/>
            <w:lang w:val="en-GB"/>
          </w:rPr>
          <w:t>Table 8 Quarterly Market Position Limits as a result of Cascading</w:t>
        </w:r>
        <w:r>
          <w:rPr>
            <w:noProof/>
            <w:webHidden/>
          </w:rPr>
          <w:tab/>
        </w:r>
        <w:r>
          <w:rPr>
            <w:noProof/>
            <w:webHidden/>
          </w:rPr>
          <w:fldChar w:fldCharType="begin"/>
        </w:r>
        <w:r>
          <w:rPr>
            <w:noProof/>
            <w:webHidden/>
          </w:rPr>
          <w:instrText xml:space="preserve"> PAGEREF _Toc102051375 \h </w:instrText>
        </w:r>
        <w:r>
          <w:rPr>
            <w:noProof/>
            <w:webHidden/>
          </w:rPr>
        </w:r>
        <w:r>
          <w:rPr>
            <w:noProof/>
            <w:webHidden/>
          </w:rPr>
          <w:fldChar w:fldCharType="separate"/>
        </w:r>
        <w:r>
          <w:rPr>
            <w:noProof/>
            <w:webHidden/>
          </w:rPr>
          <w:t>4</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6" w:history="1">
        <w:r w:rsidRPr="008B7571">
          <w:rPr>
            <w:rStyle w:val="Hyperlink"/>
            <w:noProof/>
            <w:lang w:val="en-GB"/>
          </w:rPr>
          <w:t>Table 9  Monthly Market Position Limits as a result of Cascading</w:t>
        </w:r>
        <w:r>
          <w:rPr>
            <w:noProof/>
            <w:webHidden/>
          </w:rPr>
          <w:tab/>
        </w:r>
        <w:r>
          <w:rPr>
            <w:noProof/>
            <w:webHidden/>
          </w:rPr>
          <w:fldChar w:fldCharType="begin"/>
        </w:r>
        <w:r>
          <w:rPr>
            <w:noProof/>
            <w:webHidden/>
          </w:rPr>
          <w:instrText xml:space="preserve"> PAGEREF _Toc102051376 \h </w:instrText>
        </w:r>
        <w:r>
          <w:rPr>
            <w:noProof/>
            <w:webHidden/>
          </w:rPr>
        </w:r>
        <w:r>
          <w:rPr>
            <w:noProof/>
            <w:webHidden/>
          </w:rPr>
          <w:fldChar w:fldCharType="separate"/>
        </w:r>
        <w:r>
          <w:rPr>
            <w:noProof/>
            <w:webHidden/>
          </w:rPr>
          <w:t>5</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7" w:history="1">
        <w:r w:rsidRPr="008B7571">
          <w:rPr>
            <w:rStyle w:val="Hyperlink"/>
            <w:noProof/>
            <w:lang w:val="en-GB"/>
          </w:rPr>
          <w:t>Table 10 Balance of Month Contracts Position Limits Example</w:t>
        </w:r>
        <w:r>
          <w:rPr>
            <w:noProof/>
            <w:webHidden/>
          </w:rPr>
          <w:tab/>
        </w:r>
        <w:r>
          <w:rPr>
            <w:noProof/>
            <w:webHidden/>
          </w:rPr>
          <w:fldChar w:fldCharType="begin"/>
        </w:r>
        <w:r>
          <w:rPr>
            <w:noProof/>
            <w:webHidden/>
          </w:rPr>
          <w:instrText xml:space="preserve"> PAGEREF _Toc102051377 \h </w:instrText>
        </w:r>
        <w:r>
          <w:rPr>
            <w:noProof/>
            <w:webHidden/>
          </w:rPr>
        </w:r>
        <w:r>
          <w:rPr>
            <w:noProof/>
            <w:webHidden/>
          </w:rPr>
          <w:fldChar w:fldCharType="separate"/>
        </w:r>
        <w:r>
          <w:rPr>
            <w:noProof/>
            <w:webHidden/>
          </w:rPr>
          <w:t>6</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8" w:history="1">
        <w:r w:rsidRPr="008B7571">
          <w:rPr>
            <w:rStyle w:val="Hyperlink"/>
            <w:noProof/>
            <w:lang w:val="en-GB"/>
          </w:rPr>
          <w:t>Table 11  Exemplary Participant Total Market Position Limits</w:t>
        </w:r>
        <w:r>
          <w:rPr>
            <w:noProof/>
            <w:webHidden/>
          </w:rPr>
          <w:tab/>
        </w:r>
        <w:r>
          <w:rPr>
            <w:noProof/>
            <w:webHidden/>
          </w:rPr>
          <w:fldChar w:fldCharType="begin"/>
        </w:r>
        <w:r>
          <w:rPr>
            <w:noProof/>
            <w:webHidden/>
          </w:rPr>
          <w:instrText xml:space="preserve"> PAGEREF _Toc102051378 \h </w:instrText>
        </w:r>
        <w:r>
          <w:rPr>
            <w:noProof/>
            <w:webHidden/>
          </w:rPr>
        </w:r>
        <w:r>
          <w:rPr>
            <w:noProof/>
            <w:webHidden/>
          </w:rPr>
          <w:fldChar w:fldCharType="separate"/>
        </w:r>
        <w:r>
          <w:rPr>
            <w:noProof/>
            <w:webHidden/>
          </w:rPr>
          <w:t>7</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79" w:history="1">
        <w:r w:rsidRPr="008B7571">
          <w:rPr>
            <w:rStyle w:val="Hyperlink"/>
            <w:noProof/>
            <w:lang w:val="en-GB"/>
          </w:rPr>
          <w:t>Table 12  Exemplary Participant Quarterly Position Limits</w:t>
        </w:r>
        <w:r>
          <w:rPr>
            <w:noProof/>
            <w:webHidden/>
          </w:rPr>
          <w:tab/>
        </w:r>
        <w:r>
          <w:rPr>
            <w:noProof/>
            <w:webHidden/>
          </w:rPr>
          <w:fldChar w:fldCharType="begin"/>
        </w:r>
        <w:r>
          <w:rPr>
            <w:noProof/>
            <w:webHidden/>
          </w:rPr>
          <w:instrText xml:space="preserve"> PAGEREF _Toc102051379 \h </w:instrText>
        </w:r>
        <w:r>
          <w:rPr>
            <w:noProof/>
            <w:webHidden/>
          </w:rPr>
        </w:r>
        <w:r>
          <w:rPr>
            <w:noProof/>
            <w:webHidden/>
          </w:rPr>
          <w:fldChar w:fldCharType="separate"/>
        </w:r>
        <w:r>
          <w:rPr>
            <w:noProof/>
            <w:webHidden/>
          </w:rPr>
          <w:t>7</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80" w:history="1">
        <w:r w:rsidRPr="008B7571">
          <w:rPr>
            <w:rStyle w:val="Hyperlink"/>
            <w:noProof/>
            <w:lang w:val="en-GB"/>
          </w:rPr>
          <w:t>Table 13 Exemplary Participant Monthly Position Limits</w:t>
        </w:r>
        <w:r>
          <w:rPr>
            <w:noProof/>
            <w:webHidden/>
          </w:rPr>
          <w:tab/>
        </w:r>
        <w:r>
          <w:rPr>
            <w:noProof/>
            <w:webHidden/>
          </w:rPr>
          <w:fldChar w:fldCharType="begin"/>
        </w:r>
        <w:r>
          <w:rPr>
            <w:noProof/>
            <w:webHidden/>
          </w:rPr>
          <w:instrText xml:space="preserve"> PAGEREF _Toc102051380 \h </w:instrText>
        </w:r>
        <w:r>
          <w:rPr>
            <w:noProof/>
            <w:webHidden/>
          </w:rPr>
        </w:r>
        <w:r>
          <w:rPr>
            <w:noProof/>
            <w:webHidden/>
          </w:rPr>
          <w:fldChar w:fldCharType="separate"/>
        </w:r>
        <w:r>
          <w:rPr>
            <w:noProof/>
            <w:webHidden/>
          </w:rPr>
          <w:t>8</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81" w:history="1">
        <w:r w:rsidRPr="008B7571">
          <w:rPr>
            <w:rStyle w:val="Hyperlink"/>
            <w:noProof/>
            <w:lang w:val="en-GB"/>
          </w:rPr>
          <w:t>Table 14 Exemplary Participant Yearly Position Limits</w:t>
        </w:r>
        <w:r>
          <w:rPr>
            <w:noProof/>
            <w:webHidden/>
          </w:rPr>
          <w:tab/>
        </w:r>
        <w:r>
          <w:rPr>
            <w:noProof/>
            <w:webHidden/>
          </w:rPr>
          <w:fldChar w:fldCharType="begin"/>
        </w:r>
        <w:r>
          <w:rPr>
            <w:noProof/>
            <w:webHidden/>
          </w:rPr>
          <w:instrText xml:space="preserve"> PAGEREF _Toc102051381 \h </w:instrText>
        </w:r>
        <w:r>
          <w:rPr>
            <w:noProof/>
            <w:webHidden/>
          </w:rPr>
        </w:r>
        <w:r>
          <w:rPr>
            <w:noProof/>
            <w:webHidden/>
          </w:rPr>
          <w:fldChar w:fldCharType="separate"/>
        </w:r>
        <w:r>
          <w:rPr>
            <w:noProof/>
            <w:webHidden/>
          </w:rPr>
          <w:t>8</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82" w:history="1">
        <w:r w:rsidRPr="008B7571">
          <w:rPr>
            <w:rStyle w:val="Hyperlink"/>
            <w:noProof/>
            <w:lang w:val="en-GB"/>
          </w:rPr>
          <w:t>Table 15 Exemplary Participant Quarterly Position Limits</w:t>
        </w:r>
        <w:r>
          <w:rPr>
            <w:noProof/>
            <w:webHidden/>
          </w:rPr>
          <w:tab/>
        </w:r>
        <w:r>
          <w:rPr>
            <w:noProof/>
            <w:webHidden/>
          </w:rPr>
          <w:fldChar w:fldCharType="begin"/>
        </w:r>
        <w:r>
          <w:rPr>
            <w:noProof/>
            <w:webHidden/>
          </w:rPr>
          <w:instrText xml:space="preserve"> PAGEREF _Toc102051382 \h </w:instrText>
        </w:r>
        <w:r>
          <w:rPr>
            <w:noProof/>
            <w:webHidden/>
          </w:rPr>
        </w:r>
        <w:r>
          <w:rPr>
            <w:noProof/>
            <w:webHidden/>
          </w:rPr>
          <w:fldChar w:fldCharType="separate"/>
        </w:r>
        <w:r>
          <w:rPr>
            <w:noProof/>
            <w:webHidden/>
          </w:rPr>
          <w:t>8</w:t>
        </w:r>
        <w:r>
          <w:rPr>
            <w:noProof/>
            <w:webHidden/>
          </w:rPr>
          <w:fldChar w:fldCharType="end"/>
        </w:r>
      </w:hyperlink>
    </w:p>
    <w:p w:rsidR="00B02060" w:rsidRDefault="00B02060">
      <w:pPr>
        <w:pStyle w:val="TableofFigures"/>
        <w:tabs>
          <w:tab w:val="right" w:leader="underscore" w:pos="9062"/>
        </w:tabs>
        <w:rPr>
          <w:rFonts w:eastAsiaTheme="minorEastAsia" w:cstheme="minorBidi"/>
          <w:i w:val="0"/>
          <w:iCs w:val="0"/>
          <w:noProof/>
          <w:sz w:val="22"/>
          <w:szCs w:val="22"/>
          <w:lang w:eastAsia="tr-TR"/>
        </w:rPr>
      </w:pPr>
      <w:hyperlink w:anchor="_Toc102051383" w:history="1">
        <w:r w:rsidRPr="008B7571">
          <w:rPr>
            <w:rStyle w:val="Hyperlink"/>
            <w:noProof/>
            <w:lang w:val="en-GB"/>
          </w:rPr>
          <w:t>Table 16 Exemplary Participant Monthly Position Limits</w:t>
        </w:r>
        <w:r>
          <w:rPr>
            <w:noProof/>
            <w:webHidden/>
          </w:rPr>
          <w:tab/>
        </w:r>
        <w:r>
          <w:rPr>
            <w:noProof/>
            <w:webHidden/>
          </w:rPr>
          <w:fldChar w:fldCharType="begin"/>
        </w:r>
        <w:r>
          <w:rPr>
            <w:noProof/>
            <w:webHidden/>
          </w:rPr>
          <w:instrText xml:space="preserve"> PAGEREF _Toc102051383 \h </w:instrText>
        </w:r>
        <w:r>
          <w:rPr>
            <w:noProof/>
            <w:webHidden/>
          </w:rPr>
        </w:r>
        <w:r>
          <w:rPr>
            <w:noProof/>
            <w:webHidden/>
          </w:rPr>
          <w:fldChar w:fldCharType="separate"/>
        </w:r>
        <w:r>
          <w:rPr>
            <w:noProof/>
            <w:webHidden/>
          </w:rPr>
          <w:t>9</w:t>
        </w:r>
        <w:r>
          <w:rPr>
            <w:noProof/>
            <w:webHidden/>
          </w:rPr>
          <w:fldChar w:fldCharType="end"/>
        </w:r>
      </w:hyperlink>
    </w:p>
    <w:p w:rsidR="00313215" w:rsidRPr="007266F8" w:rsidRDefault="00D00A6F" w:rsidP="005B70C3">
      <w:pPr>
        <w:pStyle w:val="Heading1"/>
        <w:rPr>
          <w:rFonts w:cstheme="majorHAnsi"/>
          <w:lang w:val="en-GB"/>
        </w:rPr>
      </w:pPr>
      <w:r w:rsidRPr="007266F8">
        <w:rPr>
          <w:lang w:val="en-GB"/>
        </w:rPr>
        <w:fldChar w:fldCharType="end"/>
      </w:r>
      <w:bookmarkStart w:id="2" w:name="_Toc102051394"/>
      <w:bookmarkEnd w:id="0"/>
      <w:r w:rsidR="005B70C3" w:rsidRPr="007266F8">
        <w:rPr>
          <w:lang w:val="en-GB"/>
        </w:rPr>
        <w:t>Market and Participant Position Limits</w:t>
      </w:r>
      <w:bookmarkEnd w:id="2"/>
      <w:r w:rsidR="005B70C3" w:rsidRPr="007266F8">
        <w:rPr>
          <w:lang w:val="en-GB"/>
        </w:rPr>
        <w:t xml:space="preserve"> </w:t>
      </w:r>
    </w:p>
    <w:p w:rsidR="00313215" w:rsidRPr="007266F8" w:rsidRDefault="0008453F" w:rsidP="00313215">
      <w:pPr>
        <w:pStyle w:val="Heading2"/>
        <w:rPr>
          <w:rFonts w:cstheme="majorHAnsi"/>
          <w:lang w:val="en-GB"/>
        </w:rPr>
      </w:pPr>
      <w:bookmarkStart w:id="3" w:name="_Toc102051395"/>
      <w:r w:rsidRPr="007266F8">
        <w:rPr>
          <w:rFonts w:cstheme="majorHAnsi"/>
          <w:lang w:val="en-GB"/>
        </w:rPr>
        <w:t>Market Position Limits</w:t>
      </w:r>
      <w:bookmarkEnd w:id="3"/>
      <w:r w:rsidRPr="007266F8">
        <w:rPr>
          <w:rFonts w:cstheme="majorHAnsi"/>
          <w:lang w:val="en-GB"/>
        </w:rPr>
        <w:t xml:space="preserve"> </w:t>
      </w:r>
    </w:p>
    <w:p w:rsidR="00A77E7C" w:rsidRPr="007266F8" w:rsidRDefault="00CA722A" w:rsidP="00B976A8">
      <w:pPr>
        <w:ind w:firstLine="708"/>
        <w:jc w:val="both"/>
        <w:rPr>
          <w:rFonts w:cstheme="minorHAnsi"/>
          <w:lang w:val="en-GB"/>
        </w:rPr>
      </w:pPr>
      <w:r w:rsidRPr="007266F8">
        <w:rPr>
          <w:rFonts w:cstheme="minorHAnsi"/>
          <w:lang w:val="en-GB"/>
        </w:rPr>
        <w:t>Pursuant to the third paragraph of Article 35 of the Power Futures Market Operating Rules and Procedures which reads “</w:t>
      </w:r>
      <w:r w:rsidR="004569B3" w:rsidRPr="007266F8">
        <w:rPr>
          <w:rFonts w:cstheme="minorHAnsi"/>
          <w:b/>
          <w:bCs/>
          <w:i/>
          <w:iCs/>
          <w:lang w:val="en-GB"/>
        </w:rPr>
        <w:t>Any issues</w:t>
      </w:r>
      <w:r w:rsidRPr="007266F8">
        <w:rPr>
          <w:rFonts w:cstheme="minorHAnsi"/>
          <w:b/>
          <w:bCs/>
          <w:i/>
          <w:iCs/>
          <w:lang w:val="en-GB"/>
        </w:rPr>
        <w:t xml:space="preserve"> concerning the calculation of the quantity corresponding to each delivery period of market position limit and any additional limits which may be determined for such delivery periods shall be announced by the market operator through </w:t>
      </w:r>
      <w:r w:rsidR="00B976A8">
        <w:rPr>
          <w:rFonts w:cstheme="minorHAnsi"/>
          <w:b/>
          <w:bCs/>
          <w:i/>
          <w:iCs/>
          <w:lang w:val="en-GB"/>
        </w:rPr>
        <w:t xml:space="preserve">the </w:t>
      </w:r>
      <w:r w:rsidRPr="007266F8">
        <w:rPr>
          <w:rFonts w:cstheme="minorHAnsi"/>
          <w:b/>
          <w:bCs/>
          <w:i/>
          <w:iCs/>
          <w:lang w:val="en-GB"/>
        </w:rPr>
        <w:t>PYS</w:t>
      </w:r>
      <w:r w:rsidRPr="007266F8">
        <w:rPr>
          <w:rFonts w:cstheme="minorHAnsi"/>
          <w:lang w:val="en-GB"/>
        </w:rPr>
        <w:t xml:space="preserve">”, the market position limits </w:t>
      </w:r>
      <w:r w:rsidR="00B976A8">
        <w:rPr>
          <w:rFonts w:cstheme="minorHAnsi"/>
          <w:lang w:val="en-GB"/>
        </w:rPr>
        <w:t>shall be</w:t>
      </w:r>
      <w:r w:rsidRPr="007266F8">
        <w:rPr>
          <w:rFonts w:cstheme="minorHAnsi"/>
          <w:lang w:val="en-GB"/>
        </w:rPr>
        <w:t xml:space="preserve"> determined as follows:  </w:t>
      </w:r>
    </w:p>
    <w:p w:rsidR="00A77E7C" w:rsidRPr="007266F8" w:rsidRDefault="000F3D4A" w:rsidP="003D3C67">
      <w:pPr>
        <w:ind w:firstLine="708"/>
        <w:jc w:val="both"/>
        <w:rPr>
          <w:rFonts w:cstheme="minorHAnsi"/>
          <w:lang w:val="en-GB"/>
        </w:rPr>
      </w:pPr>
      <w:r w:rsidRPr="007266F8">
        <w:rPr>
          <w:rFonts w:cstheme="minorHAnsi"/>
          <w:lang w:val="en-GB"/>
        </w:rPr>
        <w:t xml:space="preserve">According to the Scenario 2 </w:t>
      </w:r>
      <w:r w:rsidR="00250508">
        <w:rPr>
          <w:rFonts w:cstheme="minorHAnsi"/>
          <w:lang w:val="en-GB"/>
        </w:rPr>
        <w:t>which is</w:t>
      </w:r>
      <w:r w:rsidRPr="007266F8">
        <w:rPr>
          <w:rFonts w:cstheme="minorHAnsi"/>
          <w:lang w:val="en-GB"/>
        </w:rPr>
        <w:t xml:space="preserve"> contained in the </w:t>
      </w:r>
      <w:r w:rsidR="00250508">
        <w:rPr>
          <w:rFonts w:cstheme="minorHAnsi"/>
          <w:lang w:val="en-GB"/>
        </w:rPr>
        <w:t>“</w:t>
      </w:r>
      <w:r w:rsidRPr="007266F8">
        <w:rPr>
          <w:rFonts w:cstheme="minorHAnsi"/>
          <w:lang w:val="en-GB"/>
        </w:rPr>
        <w:t>Report on Projection of Electric</w:t>
      </w:r>
      <w:r w:rsidR="00C44565">
        <w:rPr>
          <w:rFonts w:cstheme="minorHAnsi"/>
          <w:lang w:val="en-GB"/>
        </w:rPr>
        <w:t>ity</w:t>
      </w:r>
      <w:r w:rsidRPr="007266F8">
        <w:rPr>
          <w:rFonts w:cstheme="minorHAnsi"/>
          <w:lang w:val="en-GB"/>
        </w:rPr>
        <w:t xml:space="preserve"> </w:t>
      </w:r>
      <w:r w:rsidR="00C44565">
        <w:rPr>
          <w:rFonts w:cstheme="minorHAnsi"/>
          <w:lang w:val="en-GB"/>
        </w:rPr>
        <w:t xml:space="preserve">Energy </w:t>
      </w:r>
      <w:r w:rsidRPr="007266F8">
        <w:rPr>
          <w:rFonts w:cstheme="minorHAnsi"/>
          <w:lang w:val="en-GB"/>
        </w:rPr>
        <w:t>Demand in Turkey</w:t>
      </w:r>
      <w:r w:rsidR="00250508">
        <w:rPr>
          <w:rFonts w:cstheme="minorHAnsi"/>
          <w:lang w:val="en-GB"/>
        </w:rPr>
        <w:t>”</w:t>
      </w:r>
      <w:r w:rsidRPr="007266F8">
        <w:rPr>
          <w:rFonts w:cstheme="minorHAnsi"/>
          <w:lang w:val="en-GB"/>
        </w:rPr>
        <w:t xml:space="preserve"> as published by the Ministry of Energy and Natural Resources, for the next five years, there can be an open position in the market up to </w:t>
      </w:r>
      <w:r w:rsidRPr="007266F8">
        <w:rPr>
          <w:rFonts w:cstheme="minorHAnsi"/>
          <w:b/>
          <w:bCs/>
          <w:lang w:val="en-GB"/>
        </w:rPr>
        <w:t>25%</w:t>
      </w:r>
      <w:r w:rsidRPr="007266F8">
        <w:rPr>
          <w:rFonts w:cstheme="minorHAnsi"/>
          <w:lang w:val="en-GB"/>
        </w:rPr>
        <w:t xml:space="preserve"> of the </w:t>
      </w:r>
      <w:r w:rsidR="00C44565" w:rsidRPr="007266F8">
        <w:rPr>
          <w:rFonts w:cstheme="minorHAnsi"/>
          <w:lang w:val="en-GB"/>
        </w:rPr>
        <w:t xml:space="preserve">estimated </w:t>
      </w:r>
      <w:r w:rsidRPr="007266F8">
        <w:rPr>
          <w:rFonts w:cstheme="minorHAnsi"/>
          <w:lang w:val="en-GB"/>
        </w:rPr>
        <w:t>annual electric</w:t>
      </w:r>
      <w:r w:rsidR="00C44565">
        <w:rPr>
          <w:rFonts w:cstheme="minorHAnsi"/>
          <w:lang w:val="en-GB"/>
        </w:rPr>
        <w:t>ity energy</w:t>
      </w:r>
      <w:r w:rsidRPr="007266F8">
        <w:rPr>
          <w:rFonts w:cstheme="minorHAnsi"/>
          <w:lang w:val="en-GB"/>
        </w:rPr>
        <w:t xml:space="preserve"> </w:t>
      </w:r>
      <w:r w:rsidR="00C44565">
        <w:rPr>
          <w:rFonts w:cstheme="minorHAnsi"/>
          <w:lang w:val="en-GB"/>
        </w:rPr>
        <w:t>consumption quantity</w:t>
      </w:r>
      <w:r w:rsidRPr="007266F8">
        <w:rPr>
          <w:rFonts w:cstheme="minorHAnsi"/>
          <w:lang w:val="en-GB"/>
        </w:rPr>
        <w:t xml:space="preserve"> for each year</w:t>
      </w:r>
      <w:r w:rsidR="00C20391" w:rsidRPr="007266F8">
        <w:rPr>
          <w:rFonts w:cstheme="minorHAnsi"/>
          <w:lang w:val="en-GB"/>
        </w:rPr>
        <w:t>.</w:t>
      </w:r>
      <w:r w:rsidRPr="007266F8">
        <w:rPr>
          <w:rFonts w:cstheme="minorHAnsi"/>
          <w:lang w:val="en-GB"/>
        </w:rPr>
        <w:t xml:space="preserve"> Market open position quantity shall be determined separately for </w:t>
      </w:r>
      <w:r w:rsidR="00405FEF">
        <w:rPr>
          <w:rFonts w:cstheme="minorHAnsi"/>
          <w:lang w:val="en-GB"/>
        </w:rPr>
        <w:t xml:space="preserve">the </w:t>
      </w:r>
      <w:r w:rsidRPr="007266F8">
        <w:rPr>
          <w:rFonts w:cstheme="minorHAnsi"/>
          <w:lang w:val="en-GB"/>
        </w:rPr>
        <w:t>buying and selling</w:t>
      </w:r>
      <w:r w:rsidR="00C44565">
        <w:rPr>
          <w:rFonts w:cstheme="minorHAnsi"/>
          <w:lang w:val="en-GB"/>
        </w:rPr>
        <w:t xml:space="preserve"> directions</w:t>
      </w:r>
      <w:r w:rsidRPr="007266F8">
        <w:rPr>
          <w:rFonts w:cstheme="minorHAnsi"/>
          <w:lang w:val="en-GB"/>
        </w:rPr>
        <w:t xml:space="preserve">. </w:t>
      </w:r>
      <w:r w:rsidR="00363EAF" w:rsidRPr="007266F8">
        <w:rPr>
          <w:rFonts w:cstheme="minorHAnsi"/>
          <w:lang w:val="en-GB"/>
        </w:rPr>
        <w:t>Up to two times the quantity of open position which may occur (50% of the relevant electric</w:t>
      </w:r>
      <w:r w:rsidR="00C44565">
        <w:rPr>
          <w:rFonts w:cstheme="minorHAnsi"/>
          <w:lang w:val="en-GB"/>
        </w:rPr>
        <w:t>ity</w:t>
      </w:r>
      <w:r w:rsidR="00363EAF" w:rsidRPr="007266F8">
        <w:rPr>
          <w:rFonts w:cstheme="minorHAnsi"/>
          <w:lang w:val="en-GB"/>
        </w:rPr>
        <w:t xml:space="preserve"> </w:t>
      </w:r>
      <w:r w:rsidR="00C44565">
        <w:rPr>
          <w:rFonts w:cstheme="minorHAnsi"/>
          <w:lang w:val="en-GB"/>
        </w:rPr>
        <w:t xml:space="preserve">energy </w:t>
      </w:r>
      <w:r w:rsidR="00363EAF" w:rsidRPr="007266F8">
        <w:rPr>
          <w:rFonts w:cstheme="minorHAnsi"/>
          <w:lang w:val="en-GB"/>
        </w:rPr>
        <w:t xml:space="preserve">consumption quantity) shall be determined as market position limits. Within this scope, the exemplary calculation method for 2021 </w:t>
      </w:r>
      <w:r w:rsidR="00532E03">
        <w:rPr>
          <w:rFonts w:cstheme="minorHAnsi"/>
          <w:lang w:val="en-GB"/>
        </w:rPr>
        <w:t>i</w:t>
      </w:r>
      <w:r w:rsidR="003D3C67">
        <w:rPr>
          <w:rFonts w:cstheme="minorHAnsi"/>
          <w:lang w:val="en-GB"/>
        </w:rPr>
        <w:t>s</w:t>
      </w:r>
      <w:r w:rsidR="00363EAF" w:rsidRPr="007266F8">
        <w:rPr>
          <w:rFonts w:cstheme="minorHAnsi"/>
          <w:lang w:val="en-GB"/>
        </w:rPr>
        <w:t xml:space="preserve"> explained below</w:t>
      </w:r>
      <w:r w:rsidR="00A77E7C" w:rsidRPr="007266F8">
        <w:rPr>
          <w:rFonts w:cstheme="minorHAnsi"/>
          <w:lang w:val="en-GB"/>
        </w:rPr>
        <w:t>.</w:t>
      </w:r>
    </w:p>
    <w:p w:rsidR="00A77E7C" w:rsidRPr="007266F8" w:rsidRDefault="00363EAF" w:rsidP="009E07FA">
      <w:pPr>
        <w:spacing w:after="0"/>
        <w:jc w:val="both"/>
        <w:rPr>
          <w:rFonts w:cstheme="minorHAnsi"/>
          <w:lang w:val="en-GB"/>
        </w:rPr>
      </w:pPr>
      <w:r w:rsidRPr="007266F8">
        <w:rPr>
          <w:rFonts w:cstheme="minorHAnsi"/>
          <w:lang w:val="en-GB"/>
        </w:rPr>
        <w:t xml:space="preserve">According to the data contained in the </w:t>
      </w:r>
      <w:r w:rsidR="003D3C67">
        <w:rPr>
          <w:rFonts w:cstheme="minorHAnsi"/>
          <w:lang w:val="en-GB"/>
        </w:rPr>
        <w:t>“</w:t>
      </w:r>
      <w:r w:rsidRPr="007266F8">
        <w:rPr>
          <w:rFonts w:cstheme="minorHAnsi"/>
          <w:lang w:val="en-GB"/>
        </w:rPr>
        <w:t>Report on Projection of Electric</w:t>
      </w:r>
      <w:r w:rsidR="00532E03">
        <w:rPr>
          <w:rFonts w:cstheme="minorHAnsi"/>
          <w:lang w:val="en-GB"/>
        </w:rPr>
        <w:t>ity</w:t>
      </w:r>
      <w:r w:rsidRPr="007266F8">
        <w:rPr>
          <w:rFonts w:cstheme="minorHAnsi"/>
          <w:lang w:val="en-GB"/>
        </w:rPr>
        <w:t xml:space="preserve"> </w:t>
      </w:r>
      <w:r w:rsidR="00532E03">
        <w:rPr>
          <w:rFonts w:cstheme="minorHAnsi"/>
          <w:lang w:val="en-GB"/>
        </w:rPr>
        <w:t>Energy</w:t>
      </w:r>
      <w:r w:rsidRPr="007266F8">
        <w:rPr>
          <w:rFonts w:cstheme="minorHAnsi"/>
          <w:lang w:val="en-GB"/>
        </w:rPr>
        <w:t xml:space="preserve"> Demand in Turkey</w:t>
      </w:r>
      <w:r w:rsidR="003D3C67">
        <w:rPr>
          <w:rFonts w:cstheme="minorHAnsi"/>
          <w:lang w:val="en-GB"/>
        </w:rPr>
        <w:t>”</w:t>
      </w:r>
      <w:r w:rsidRPr="007266F8">
        <w:rPr>
          <w:rFonts w:cstheme="minorHAnsi"/>
          <w:lang w:val="en-GB"/>
        </w:rPr>
        <w:t xml:space="preserve"> </w:t>
      </w:r>
      <w:r w:rsidR="009E07FA">
        <w:rPr>
          <w:rFonts w:cstheme="minorHAnsi"/>
          <w:lang w:val="en-GB"/>
        </w:rPr>
        <w:t>for the period between</w:t>
      </w:r>
      <w:r w:rsidRPr="007266F8">
        <w:rPr>
          <w:rFonts w:cstheme="minorHAnsi"/>
          <w:lang w:val="en-GB"/>
        </w:rPr>
        <w:t xml:space="preserve"> 2019 </w:t>
      </w:r>
      <w:r w:rsidR="009E07FA">
        <w:rPr>
          <w:rFonts w:cstheme="minorHAnsi"/>
          <w:lang w:val="en-GB"/>
        </w:rPr>
        <w:t>and</w:t>
      </w:r>
      <w:r w:rsidRPr="007266F8">
        <w:rPr>
          <w:rFonts w:cstheme="minorHAnsi"/>
          <w:lang w:val="en-GB"/>
        </w:rPr>
        <w:t xml:space="preserve"> 2028, the </w:t>
      </w:r>
      <w:r w:rsidR="00532E03" w:rsidRPr="007266F8">
        <w:rPr>
          <w:rFonts w:cstheme="minorHAnsi"/>
          <w:lang w:val="en-GB"/>
        </w:rPr>
        <w:t xml:space="preserve">estimated </w:t>
      </w:r>
      <w:r w:rsidRPr="007266F8">
        <w:rPr>
          <w:rFonts w:cstheme="minorHAnsi"/>
          <w:lang w:val="en-GB"/>
        </w:rPr>
        <w:t>electric</w:t>
      </w:r>
      <w:r w:rsidR="00532E03">
        <w:rPr>
          <w:rFonts w:cstheme="minorHAnsi"/>
          <w:lang w:val="en-GB"/>
        </w:rPr>
        <w:t>ity</w:t>
      </w:r>
      <w:r w:rsidRPr="007266F8">
        <w:rPr>
          <w:rFonts w:cstheme="minorHAnsi"/>
          <w:lang w:val="en-GB"/>
        </w:rPr>
        <w:t xml:space="preserve"> </w:t>
      </w:r>
      <w:r w:rsidR="00532E03">
        <w:rPr>
          <w:rFonts w:cstheme="minorHAnsi"/>
          <w:lang w:val="en-GB"/>
        </w:rPr>
        <w:t xml:space="preserve">energy </w:t>
      </w:r>
      <w:r w:rsidRPr="007266F8">
        <w:rPr>
          <w:rFonts w:cstheme="minorHAnsi"/>
          <w:lang w:val="en-GB"/>
        </w:rPr>
        <w:t>consumption quantities for 2021 are as listed in the table below</w:t>
      </w:r>
      <w:r w:rsidR="00A77E7C" w:rsidRPr="007266F8">
        <w:rPr>
          <w:rFonts w:cstheme="minorHAnsi"/>
          <w:lang w:val="en-GB"/>
        </w:rPr>
        <w:t>.</w:t>
      </w:r>
      <w:r w:rsidR="00671373" w:rsidRPr="007266F8">
        <w:rPr>
          <w:rFonts w:cstheme="minorHAnsi"/>
          <w:lang w:val="en-GB"/>
        </w:rPr>
        <w:t xml:space="preserve"> </w:t>
      </w:r>
    </w:p>
    <w:p w:rsidR="00313215" w:rsidRPr="007266F8" w:rsidRDefault="00313215" w:rsidP="00313215">
      <w:pPr>
        <w:spacing w:after="0"/>
        <w:jc w:val="both"/>
        <w:rPr>
          <w:rFonts w:cstheme="minorHAnsi"/>
          <w:lang w:val="en-GB"/>
        </w:rPr>
      </w:pPr>
    </w:p>
    <w:p w:rsidR="00AD13B0" w:rsidRPr="007266F8" w:rsidRDefault="00AD13B0" w:rsidP="00313215">
      <w:pPr>
        <w:spacing w:after="0"/>
        <w:jc w:val="both"/>
        <w:rPr>
          <w:rFonts w:cstheme="minorHAnsi"/>
          <w:lang w:val="en-GB"/>
        </w:rPr>
      </w:pPr>
    </w:p>
    <w:tbl>
      <w:tblPr>
        <w:tblStyle w:val="KlavuzTablo1Ak-Vurgu51"/>
        <w:tblW w:w="9002" w:type="dxa"/>
        <w:tblLook w:val="04A0" w:firstRow="1" w:lastRow="0" w:firstColumn="1" w:lastColumn="0" w:noHBand="0" w:noVBand="1"/>
      </w:tblPr>
      <w:tblGrid>
        <w:gridCol w:w="1580"/>
        <w:gridCol w:w="2494"/>
        <w:gridCol w:w="2494"/>
        <w:gridCol w:w="2494"/>
      </w:tblGrid>
      <w:tr w:rsidR="00313215" w:rsidRPr="007266F8" w:rsidTr="000532DB">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DEEAF6" w:themeFill="accent1" w:themeFillTint="33"/>
            <w:noWrap/>
            <w:vAlign w:val="center"/>
            <w:hideMark/>
          </w:tcPr>
          <w:p w:rsidR="00313215" w:rsidRPr="007266F8" w:rsidRDefault="00363EAF" w:rsidP="00532E03">
            <w:pPr>
              <w:ind w:left="-255" w:right="-3" w:firstLine="255"/>
              <w:jc w:val="center"/>
              <w:rPr>
                <w:rFonts w:eastAsia="Times New Roman" w:cstheme="minorHAnsi"/>
                <w:color w:val="000000" w:themeColor="text1"/>
                <w:sz w:val="20"/>
                <w:szCs w:val="20"/>
                <w:lang w:val="en-GB" w:eastAsia="tr-TR"/>
              </w:rPr>
            </w:pPr>
            <w:r w:rsidRPr="007266F8">
              <w:rPr>
                <w:rFonts w:eastAsia="Times New Roman" w:cstheme="minorHAnsi"/>
                <w:color w:val="000000" w:themeColor="text1"/>
                <w:sz w:val="20"/>
                <w:szCs w:val="20"/>
                <w:lang w:val="en-GB" w:eastAsia="tr-TR"/>
              </w:rPr>
              <w:t xml:space="preserve">Consumption Estimate </w:t>
            </w:r>
            <w:r w:rsidR="00A70C17" w:rsidRPr="007266F8">
              <w:rPr>
                <w:rFonts w:eastAsia="Times New Roman" w:cstheme="minorHAnsi"/>
                <w:color w:val="000000" w:themeColor="text1"/>
                <w:sz w:val="20"/>
                <w:szCs w:val="20"/>
                <w:lang w:val="en-GB" w:eastAsia="tr-TR"/>
              </w:rPr>
              <w:t xml:space="preserve">(TWh) </w:t>
            </w:r>
            <w:r w:rsidR="00466C06" w:rsidRPr="007266F8">
              <w:rPr>
                <w:rFonts w:eastAsia="Times New Roman" w:cstheme="minorHAnsi"/>
                <w:color w:val="000000" w:themeColor="text1"/>
                <w:sz w:val="20"/>
                <w:szCs w:val="20"/>
                <w:lang w:val="en-GB" w:eastAsia="tr-TR"/>
              </w:rPr>
              <w:t xml:space="preserve">for the </w:t>
            </w:r>
            <w:r w:rsidR="00260CA8">
              <w:rPr>
                <w:rFonts w:eastAsia="Times New Roman" w:cstheme="minorHAnsi"/>
                <w:color w:val="000000" w:themeColor="text1"/>
                <w:sz w:val="20"/>
                <w:szCs w:val="20"/>
                <w:lang w:val="en-GB" w:eastAsia="tr-TR"/>
              </w:rPr>
              <w:t xml:space="preserve">Year </w:t>
            </w:r>
            <w:r w:rsidR="00466C06" w:rsidRPr="007266F8">
              <w:rPr>
                <w:rFonts w:eastAsia="Times New Roman" w:cstheme="minorHAnsi"/>
                <w:color w:val="000000" w:themeColor="text1"/>
                <w:sz w:val="20"/>
                <w:szCs w:val="20"/>
                <w:lang w:val="en-GB" w:eastAsia="tr-TR"/>
              </w:rPr>
              <w:t xml:space="preserve">2021 as </w:t>
            </w:r>
            <w:r w:rsidR="00A70C17" w:rsidRPr="007266F8">
              <w:rPr>
                <w:rFonts w:eastAsia="Times New Roman" w:cstheme="minorHAnsi"/>
                <w:color w:val="000000" w:themeColor="text1"/>
                <w:sz w:val="20"/>
                <w:szCs w:val="20"/>
                <w:lang w:val="en-GB" w:eastAsia="tr-TR"/>
              </w:rPr>
              <w:t>contained</w:t>
            </w:r>
            <w:r w:rsidR="00466C06" w:rsidRPr="007266F8">
              <w:rPr>
                <w:rFonts w:eastAsia="Times New Roman" w:cstheme="minorHAnsi"/>
                <w:color w:val="000000" w:themeColor="text1"/>
                <w:sz w:val="20"/>
                <w:szCs w:val="20"/>
                <w:lang w:val="en-GB" w:eastAsia="tr-TR"/>
              </w:rPr>
              <w:t xml:space="preserve"> in</w:t>
            </w:r>
            <w:r w:rsidRPr="007266F8">
              <w:rPr>
                <w:rFonts w:eastAsia="Times New Roman" w:cstheme="minorHAnsi"/>
                <w:color w:val="000000" w:themeColor="text1"/>
                <w:sz w:val="20"/>
                <w:szCs w:val="20"/>
                <w:lang w:val="en-GB" w:eastAsia="tr-TR"/>
              </w:rPr>
              <w:t xml:space="preserve"> the Report on Projection of Electric</w:t>
            </w:r>
            <w:r w:rsidR="00532E03">
              <w:rPr>
                <w:rFonts w:eastAsia="Times New Roman" w:cstheme="minorHAnsi"/>
                <w:color w:val="000000" w:themeColor="text1"/>
                <w:sz w:val="20"/>
                <w:szCs w:val="20"/>
                <w:lang w:val="en-GB" w:eastAsia="tr-TR"/>
              </w:rPr>
              <w:t>ity</w:t>
            </w:r>
            <w:r w:rsidRPr="007266F8">
              <w:rPr>
                <w:rFonts w:eastAsia="Times New Roman" w:cstheme="minorHAnsi"/>
                <w:color w:val="000000" w:themeColor="text1"/>
                <w:sz w:val="20"/>
                <w:szCs w:val="20"/>
                <w:lang w:val="en-GB" w:eastAsia="tr-TR"/>
              </w:rPr>
              <w:t xml:space="preserve"> </w:t>
            </w:r>
            <w:r w:rsidR="00532E03">
              <w:rPr>
                <w:rFonts w:eastAsia="Times New Roman" w:cstheme="minorHAnsi"/>
                <w:color w:val="000000" w:themeColor="text1"/>
                <w:sz w:val="20"/>
                <w:szCs w:val="20"/>
                <w:lang w:val="en-GB" w:eastAsia="tr-TR"/>
              </w:rPr>
              <w:t xml:space="preserve">Energy </w:t>
            </w:r>
            <w:r w:rsidRPr="007266F8">
              <w:rPr>
                <w:rFonts w:eastAsia="Times New Roman" w:cstheme="minorHAnsi"/>
                <w:color w:val="000000" w:themeColor="text1"/>
                <w:sz w:val="20"/>
                <w:szCs w:val="20"/>
                <w:lang w:val="en-GB" w:eastAsia="tr-TR"/>
              </w:rPr>
              <w:t xml:space="preserve">Demand in Turkey </w:t>
            </w:r>
          </w:p>
        </w:tc>
      </w:tr>
      <w:tr w:rsidR="00466C06" w:rsidRPr="007266F8" w:rsidTr="000532DB">
        <w:trPr>
          <w:trHeight w:val="21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13215" w:rsidRPr="007266F8" w:rsidRDefault="00363EAF" w:rsidP="00313215">
            <w:pPr>
              <w:jc w:val="center"/>
              <w:rPr>
                <w:rFonts w:eastAsia="Times New Roman" w:cstheme="minorHAnsi"/>
                <w:b w:val="0"/>
                <w:bCs w:val="0"/>
                <w:i/>
                <w:iCs/>
                <w:color w:val="000000" w:themeColor="text1"/>
                <w:sz w:val="20"/>
                <w:szCs w:val="20"/>
                <w:lang w:val="en-GB" w:eastAsia="tr-TR"/>
              </w:rPr>
            </w:pPr>
            <w:r w:rsidRPr="007266F8">
              <w:rPr>
                <w:rFonts w:eastAsia="Times New Roman" w:cstheme="minorHAnsi"/>
                <w:i/>
                <w:iCs/>
                <w:color w:val="000000" w:themeColor="text1"/>
                <w:sz w:val="20"/>
                <w:szCs w:val="20"/>
                <w:lang w:val="en-GB" w:eastAsia="tr-TR"/>
              </w:rPr>
              <w:t xml:space="preserve">Years </w:t>
            </w:r>
          </w:p>
        </w:tc>
        <w:tc>
          <w:tcPr>
            <w:tcW w:w="0" w:type="auto"/>
            <w:noWrap/>
            <w:vAlign w:val="center"/>
            <w:hideMark/>
          </w:tcPr>
          <w:p w:rsidR="00313215" w:rsidRPr="007266F8" w:rsidRDefault="00363EAF"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val="en-GB" w:eastAsia="tr-TR"/>
              </w:rPr>
            </w:pPr>
            <w:r w:rsidRPr="007266F8">
              <w:rPr>
                <w:rFonts w:eastAsia="Times New Roman" w:cstheme="minorHAnsi"/>
                <w:b/>
                <w:bCs/>
                <w:i/>
                <w:iCs/>
                <w:color w:val="000000" w:themeColor="text1"/>
                <w:sz w:val="20"/>
                <w:szCs w:val="20"/>
                <w:lang w:val="en-GB" w:eastAsia="tr-TR"/>
              </w:rPr>
              <w:t xml:space="preserve">Scenario </w:t>
            </w:r>
            <w:r w:rsidR="0057037D" w:rsidRPr="007266F8">
              <w:rPr>
                <w:rFonts w:eastAsia="Times New Roman" w:cstheme="minorHAnsi"/>
                <w:b/>
                <w:bCs/>
                <w:i/>
                <w:iCs/>
                <w:color w:val="000000" w:themeColor="text1"/>
                <w:sz w:val="20"/>
                <w:szCs w:val="20"/>
                <w:lang w:val="en-GB" w:eastAsia="tr-TR"/>
              </w:rPr>
              <w:t>1</w:t>
            </w:r>
          </w:p>
        </w:tc>
        <w:tc>
          <w:tcPr>
            <w:tcW w:w="0" w:type="auto"/>
            <w:noWrap/>
            <w:vAlign w:val="center"/>
            <w:hideMark/>
          </w:tcPr>
          <w:p w:rsidR="00313215" w:rsidRPr="007266F8" w:rsidRDefault="00363EAF"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val="en-GB" w:eastAsia="tr-TR"/>
              </w:rPr>
            </w:pPr>
            <w:r w:rsidRPr="007266F8">
              <w:rPr>
                <w:rFonts w:eastAsia="Times New Roman" w:cstheme="minorHAnsi"/>
                <w:b/>
                <w:bCs/>
                <w:i/>
                <w:iCs/>
                <w:color w:val="000000" w:themeColor="text1"/>
                <w:sz w:val="20"/>
                <w:szCs w:val="20"/>
                <w:lang w:val="en-GB" w:eastAsia="tr-TR"/>
              </w:rPr>
              <w:t xml:space="preserve">Scenario </w:t>
            </w:r>
            <w:r w:rsidR="0057037D" w:rsidRPr="007266F8">
              <w:rPr>
                <w:rFonts w:eastAsia="Times New Roman" w:cstheme="minorHAnsi"/>
                <w:b/>
                <w:bCs/>
                <w:i/>
                <w:iCs/>
                <w:color w:val="000000" w:themeColor="text1"/>
                <w:sz w:val="20"/>
                <w:szCs w:val="20"/>
                <w:lang w:val="en-GB" w:eastAsia="tr-TR"/>
              </w:rPr>
              <w:t>2</w:t>
            </w:r>
          </w:p>
        </w:tc>
        <w:tc>
          <w:tcPr>
            <w:tcW w:w="0" w:type="auto"/>
            <w:noWrap/>
            <w:vAlign w:val="center"/>
            <w:hideMark/>
          </w:tcPr>
          <w:p w:rsidR="00313215" w:rsidRPr="007266F8" w:rsidRDefault="00363EAF"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val="en-GB" w:eastAsia="tr-TR"/>
              </w:rPr>
            </w:pPr>
            <w:r w:rsidRPr="007266F8">
              <w:rPr>
                <w:rFonts w:eastAsia="Times New Roman" w:cstheme="minorHAnsi"/>
                <w:b/>
                <w:bCs/>
                <w:i/>
                <w:iCs/>
                <w:color w:val="000000" w:themeColor="text1"/>
                <w:sz w:val="20"/>
                <w:szCs w:val="20"/>
                <w:lang w:val="en-GB" w:eastAsia="tr-TR"/>
              </w:rPr>
              <w:t xml:space="preserve">Scenario </w:t>
            </w:r>
            <w:r w:rsidR="0057037D" w:rsidRPr="007266F8">
              <w:rPr>
                <w:rFonts w:eastAsia="Times New Roman" w:cstheme="minorHAnsi"/>
                <w:b/>
                <w:bCs/>
                <w:i/>
                <w:iCs/>
                <w:color w:val="000000" w:themeColor="text1"/>
                <w:sz w:val="20"/>
                <w:szCs w:val="20"/>
                <w:lang w:val="en-GB" w:eastAsia="tr-TR"/>
              </w:rPr>
              <w:t>3</w:t>
            </w:r>
          </w:p>
        </w:tc>
      </w:tr>
      <w:tr w:rsidR="00466C06" w:rsidRPr="007266F8" w:rsidTr="000532DB">
        <w:trPr>
          <w:trHeight w:val="21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13215" w:rsidRPr="007266F8" w:rsidRDefault="00313215" w:rsidP="00313215">
            <w:pPr>
              <w:jc w:val="center"/>
              <w:rPr>
                <w:rFonts w:eastAsia="Times New Roman" w:cstheme="minorHAnsi"/>
                <w:b w:val="0"/>
                <w:bCs w:val="0"/>
                <w:color w:val="000000" w:themeColor="text1"/>
                <w:sz w:val="20"/>
                <w:szCs w:val="20"/>
                <w:lang w:val="en-GB" w:eastAsia="tr-TR"/>
              </w:rPr>
            </w:pPr>
            <w:r w:rsidRPr="007266F8">
              <w:rPr>
                <w:rFonts w:eastAsia="Times New Roman" w:cstheme="minorHAnsi"/>
                <w:color w:val="000000" w:themeColor="text1"/>
                <w:sz w:val="20"/>
                <w:szCs w:val="20"/>
                <w:lang w:val="en-GB" w:eastAsia="tr-TR"/>
              </w:rPr>
              <w:t>2021</w:t>
            </w:r>
          </w:p>
        </w:tc>
        <w:tc>
          <w:tcPr>
            <w:tcW w:w="0" w:type="auto"/>
            <w:noWrap/>
            <w:vAlign w:val="center"/>
            <w:hideMark/>
          </w:tcPr>
          <w:p w:rsidR="00313215" w:rsidRPr="007266F8"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GB" w:eastAsia="tr-TR"/>
              </w:rPr>
            </w:pPr>
            <w:r w:rsidRPr="007266F8">
              <w:rPr>
                <w:rFonts w:eastAsia="Times New Roman" w:cstheme="minorHAnsi"/>
                <w:color w:val="000000" w:themeColor="text1"/>
                <w:sz w:val="20"/>
                <w:szCs w:val="20"/>
                <w:lang w:val="en-GB" w:eastAsia="tr-TR"/>
              </w:rPr>
              <w:t>340,5</w:t>
            </w:r>
          </w:p>
        </w:tc>
        <w:tc>
          <w:tcPr>
            <w:tcW w:w="0" w:type="auto"/>
            <w:noWrap/>
            <w:vAlign w:val="center"/>
            <w:hideMark/>
          </w:tcPr>
          <w:p w:rsidR="00313215" w:rsidRPr="007266F8"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GB" w:eastAsia="tr-TR"/>
              </w:rPr>
            </w:pPr>
            <w:r w:rsidRPr="007266F8">
              <w:rPr>
                <w:rFonts w:eastAsia="Times New Roman" w:cstheme="minorHAnsi"/>
                <w:color w:val="000000" w:themeColor="text1"/>
                <w:sz w:val="20"/>
                <w:szCs w:val="20"/>
                <w:lang w:val="en-GB" w:eastAsia="tr-TR"/>
              </w:rPr>
              <w:t>344,4</w:t>
            </w:r>
          </w:p>
        </w:tc>
        <w:tc>
          <w:tcPr>
            <w:tcW w:w="0" w:type="auto"/>
            <w:noWrap/>
            <w:vAlign w:val="center"/>
            <w:hideMark/>
          </w:tcPr>
          <w:p w:rsidR="00313215" w:rsidRPr="007266F8"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GB" w:eastAsia="tr-TR"/>
              </w:rPr>
            </w:pPr>
            <w:r w:rsidRPr="007266F8">
              <w:rPr>
                <w:rFonts w:eastAsia="Times New Roman" w:cstheme="minorHAnsi"/>
                <w:color w:val="000000" w:themeColor="text1"/>
                <w:sz w:val="20"/>
                <w:szCs w:val="20"/>
                <w:lang w:val="en-GB" w:eastAsia="tr-TR"/>
              </w:rPr>
              <w:t>348,7</w:t>
            </w:r>
          </w:p>
        </w:tc>
      </w:tr>
    </w:tbl>
    <w:p w:rsidR="00313215" w:rsidRPr="007266F8" w:rsidRDefault="00466C06" w:rsidP="00A70C17">
      <w:pPr>
        <w:pStyle w:val="Caption"/>
        <w:keepNext/>
        <w:ind w:firstLine="708"/>
        <w:jc w:val="center"/>
        <w:rPr>
          <w:rFonts w:cstheme="minorHAnsi"/>
          <w:sz w:val="16"/>
          <w:lang w:val="en-GB"/>
        </w:rPr>
      </w:pPr>
      <w:bookmarkStart w:id="4" w:name="_Toc102051368"/>
      <w:r w:rsidRPr="007266F8">
        <w:rPr>
          <w:rFonts w:cstheme="minorHAnsi"/>
          <w:sz w:val="16"/>
          <w:lang w:val="en-GB"/>
        </w:rPr>
        <w:t>Table</w:t>
      </w:r>
      <w:r w:rsidR="00313215" w:rsidRPr="007266F8">
        <w:rPr>
          <w:rFonts w:cstheme="minorHAnsi"/>
          <w:sz w:val="16"/>
          <w:lang w:val="en-GB"/>
        </w:rPr>
        <w:t xml:space="preserve"> </w:t>
      </w:r>
      <w:r w:rsidR="00D00A6F" w:rsidRPr="007266F8">
        <w:rPr>
          <w:rFonts w:cstheme="minorHAnsi"/>
          <w:sz w:val="16"/>
          <w:lang w:val="en-GB"/>
        </w:rPr>
        <w:fldChar w:fldCharType="begin"/>
      </w:r>
      <w:r w:rsidR="00B56224"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Pr="007266F8">
        <w:rPr>
          <w:rFonts w:cstheme="minorHAnsi"/>
          <w:noProof/>
          <w:sz w:val="16"/>
          <w:lang w:val="en-GB"/>
        </w:rPr>
        <w:t>1</w:t>
      </w:r>
      <w:r w:rsidR="00D00A6F" w:rsidRPr="007266F8">
        <w:rPr>
          <w:rFonts w:cstheme="minorHAnsi"/>
          <w:sz w:val="16"/>
          <w:lang w:val="en-GB"/>
        </w:rPr>
        <w:fldChar w:fldCharType="end"/>
      </w:r>
      <w:r w:rsidR="00313215" w:rsidRPr="007266F8">
        <w:rPr>
          <w:rFonts w:cstheme="minorHAnsi"/>
          <w:sz w:val="16"/>
          <w:lang w:val="en-GB"/>
        </w:rPr>
        <w:t xml:space="preserve"> </w:t>
      </w:r>
      <w:r w:rsidRPr="007266F8">
        <w:rPr>
          <w:rFonts w:cstheme="minorHAnsi"/>
          <w:sz w:val="16"/>
          <w:lang w:val="en-GB"/>
        </w:rPr>
        <w:t xml:space="preserve">Electricity Consumption Estimate </w:t>
      </w:r>
      <w:r w:rsidR="00A70C17" w:rsidRPr="007266F8">
        <w:rPr>
          <w:rFonts w:cstheme="minorHAnsi"/>
          <w:sz w:val="16"/>
          <w:lang w:val="en-GB"/>
        </w:rPr>
        <w:t xml:space="preserve">(TWh) </w:t>
      </w:r>
      <w:r w:rsidRPr="007266F8">
        <w:rPr>
          <w:rFonts w:cstheme="minorHAnsi"/>
          <w:sz w:val="16"/>
          <w:lang w:val="en-GB"/>
        </w:rPr>
        <w:t xml:space="preserve">for 2021 as </w:t>
      </w:r>
      <w:r w:rsidR="00A70C17" w:rsidRPr="007266F8">
        <w:rPr>
          <w:rFonts w:cstheme="minorHAnsi"/>
          <w:sz w:val="16"/>
          <w:lang w:val="en-GB"/>
        </w:rPr>
        <w:t>contained</w:t>
      </w:r>
      <w:r w:rsidRPr="007266F8">
        <w:rPr>
          <w:rFonts w:cstheme="minorHAnsi"/>
          <w:sz w:val="16"/>
          <w:lang w:val="en-GB"/>
        </w:rPr>
        <w:t xml:space="preserve"> in the Report on Projection of Electric</w:t>
      </w:r>
      <w:r w:rsidR="00532E03">
        <w:rPr>
          <w:rFonts w:cstheme="minorHAnsi"/>
          <w:sz w:val="16"/>
          <w:lang w:val="en-GB"/>
        </w:rPr>
        <w:t>ity</w:t>
      </w:r>
      <w:r w:rsidRPr="007266F8">
        <w:rPr>
          <w:rFonts w:cstheme="minorHAnsi"/>
          <w:sz w:val="16"/>
          <w:lang w:val="en-GB"/>
        </w:rPr>
        <w:t xml:space="preserve"> </w:t>
      </w:r>
      <w:r w:rsidR="00532E03">
        <w:rPr>
          <w:rFonts w:cstheme="minorHAnsi"/>
          <w:sz w:val="16"/>
          <w:lang w:val="en-GB"/>
        </w:rPr>
        <w:t xml:space="preserve">Energy </w:t>
      </w:r>
      <w:r w:rsidRPr="007266F8">
        <w:rPr>
          <w:rFonts w:cstheme="minorHAnsi"/>
          <w:sz w:val="16"/>
          <w:lang w:val="en-GB"/>
        </w:rPr>
        <w:t>Demand in Turkey</w:t>
      </w:r>
      <w:bookmarkEnd w:id="4"/>
      <w:r w:rsidRPr="007266F8">
        <w:rPr>
          <w:rFonts w:cstheme="minorHAnsi"/>
          <w:sz w:val="16"/>
          <w:lang w:val="en-GB"/>
        </w:rPr>
        <w:t xml:space="preserve"> </w:t>
      </w:r>
    </w:p>
    <w:p w:rsidR="00F31B3F" w:rsidRPr="007266F8" w:rsidRDefault="00F31B3F" w:rsidP="00F31B3F">
      <w:pPr>
        <w:rPr>
          <w:lang w:val="en-GB"/>
        </w:rPr>
      </w:pPr>
    </w:p>
    <w:p w:rsidR="00313215" w:rsidRPr="007266F8" w:rsidRDefault="00532E03" w:rsidP="00CA6C72">
      <w:pPr>
        <w:pStyle w:val="Heading3"/>
        <w:rPr>
          <w:rFonts w:cstheme="majorHAnsi"/>
          <w:lang w:val="en-GB"/>
        </w:rPr>
      </w:pPr>
      <w:bookmarkStart w:id="5" w:name="_Toc102051396"/>
      <w:r>
        <w:rPr>
          <w:rFonts w:cstheme="majorHAnsi"/>
          <w:lang w:val="en-GB"/>
        </w:rPr>
        <w:t>Allocation</w:t>
      </w:r>
      <w:r w:rsidR="00CA6C72" w:rsidRPr="007266F8">
        <w:rPr>
          <w:rFonts w:cstheme="majorHAnsi"/>
          <w:lang w:val="en-GB"/>
        </w:rPr>
        <w:t xml:space="preserve"> of Market Position Limits among Delivery Periods</w:t>
      </w:r>
      <w:bookmarkEnd w:id="5"/>
    </w:p>
    <w:p w:rsidR="000B616B" w:rsidRPr="007266F8" w:rsidRDefault="00CA6C72" w:rsidP="00233DBC">
      <w:pPr>
        <w:ind w:firstLine="708"/>
        <w:jc w:val="both"/>
        <w:rPr>
          <w:rFonts w:cstheme="minorHAnsi"/>
          <w:lang w:val="en-GB"/>
        </w:rPr>
      </w:pPr>
      <w:r w:rsidRPr="007266F8">
        <w:rPr>
          <w:rFonts w:cstheme="minorHAnsi"/>
          <w:lang w:val="en-GB"/>
        </w:rPr>
        <w:t xml:space="preserve">Total market position limits which have been determined shall be proportionally </w:t>
      </w:r>
      <w:r w:rsidR="00532E03">
        <w:rPr>
          <w:rFonts w:cstheme="minorHAnsi"/>
          <w:lang w:val="en-GB"/>
        </w:rPr>
        <w:t>allocated</w:t>
      </w:r>
      <w:r w:rsidRPr="007266F8">
        <w:rPr>
          <w:rFonts w:cstheme="minorHAnsi"/>
          <w:lang w:val="en-GB"/>
        </w:rPr>
        <w:t xml:space="preserve"> among the delivery periods. </w:t>
      </w:r>
      <w:r w:rsidR="009E28D0" w:rsidRPr="007266F8">
        <w:rPr>
          <w:rFonts w:cstheme="minorHAnsi"/>
          <w:lang w:val="en-GB"/>
        </w:rPr>
        <w:t xml:space="preserve">Total market position shall be </w:t>
      </w:r>
      <w:r w:rsidR="00532E03">
        <w:rPr>
          <w:rFonts w:cstheme="minorHAnsi"/>
          <w:lang w:val="en-GB"/>
        </w:rPr>
        <w:t>allocated</w:t>
      </w:r>
      <w:r w:rsidR="009E28D0" w:rsidRPr="007266F8">
        <w:rPr>
          <w:rFonts w:cstheme="minorHAnsi"/>
          <w:lang w:val="en-GB"/>
        </w:rPr>
        <w:t xml:space="preserve"> such that yearly contracts shall account for 10%, quarterly contracts shall account for 30% and monthly contracts shall account for 60%. In case weekly and daily contracts are opened, </w:t>
      </w:r>
      <w:r w:rsidR="00233DBC" w:rsidRPr="007266F8">
        <w:rPr>
          <w:rFonts w:cstheme="minorHAnsi"/>
          <w:lang w:val="en-GB"/>
        </w:rPr>
        <w:t>total market position limits shall be recalculated on a proportional basis. All calculated values shall be rounded to the nearest whole number value</w:t>
      </w:r>
      <w:r w:rsidR="00313215" w:rsidRPr="007266F8">
        <w:rPr>
          <w:rFonts w:cstheme="minorHAnsi"/>
          <w:lang w:val="en-GB"/>
        </w:rPr>
        <w:t>.</w:t>
      </w:r>
      <w:r w:rsidRPr="007266F8">
        <w:rPr>
          <w:lang w:val="en-GB"/>
        </w:rPr>
        <w:t xml:space="preserve"> </w:t>
      </w:r>
    </w:p>
    <w:tbl>
      <w:tblPr>
        <w:tblStyle w:val="KlavuzTablo1Ak-Vurgu51"/>
        <w:tblW w:w="0" w:type="auto"/>
        <w:jc w:val="center"/>
        <w:tblLook w:val="04A0" w:firstRow="1" w:lastRow="0" w:firstColumn="1" w:lastColumn="0" w:noHBand="0" w:noVBand="1"/>
      </w:tblPr>
      <w:tblGrid>
        <w:gridCol w:w="1555"/>
        <w:gridCol w:w="2126"/>
      </w:tblGrid>
      <w:tr w:rsidR="00313215" w:rsidRPr="007266F8" w:rsidTr="003132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313215" w:rsidRPr="007266F8" w:rsidRDefault="00233DBC" w:rsidP="00313215">
            <w:pPr>
              <w:jc w:val="center"/>
              <w:rPr>
                <w:rFonts w:cstheme="minorHAnsi"/>
                <w:i/>
                <w:sz w:val="18"/>
                <w:szCs w:val="18"/>
                <w:lang w:val="en-GB"/>
              </w:rPr>
            </w:pPr>
            <w:r w:rsidRPr="007266F8">
              <w:rPr>
                <w:rFonts w:cstheme="minorHAnsi"/>
                <w:i/>
                <w:sz w:val="18"/>
                <w:szCs w:val="18"/>
                <w:lang w:val="en-GB"/>
              </w:rPr>
              <w:t xml:space="preserve">Delivery Period </w:t>
            </w:r>
          </w:p>
        </w:tc>
        <w:tc>
          <w:tcPr>
            <w:tcW w:w="2126" w:type="dxa"/>
            <w:shd w:val="clear" w:color="auto" w:fill="DEEAF6" w:themeFill="accent1" w:themeFillTint="33"/>
          </w:tcPr>
          <w:p w:rsidR="00313215" w:rsidRPr="007266F8" w:rsidRDefault="00233DBC" w:rsidP="00233DBC">
            <w:pPr>
              <w:jc w:val="center"/>
              <w:cnfStyle w:val="100000000000" w:firstRow="1" w:lastRow="0" w:firstColumn="0" w:lastColumn="0" w:oddVBand="0" w:evenVBand="0" w:oddHBand="0" w:evenHBand="0" w:firstRowFirstColumn="0" w:firstRowLastColumn="0" w:lastRowFirstColumn="0" w:lastRowLastColumn="0"/>
              <w:rPr>
                <w:rFonts w:cstheme="minorHAnsi"/>
                <w:i/>
                <w:sz w:val="18"/>
                <w:szCs w:val="18"/>
                <w:lang w:val="en-GB"/>
              </w:rPr>
            </w:pPr>
            <w:r w:rsidRPr="007266F8">
              <w:rPr>
                <w:rFonts w:cstheme="minorHAnsi"/>
                <w:i/>
                <w:sz w:val="18"/>
                <w:szCs w:val="18"/>
                <w:lang w:val="en-GB"/>
              </w:rPr>
              <w:t xml:space="preserve">Share in the Market Position Limit </w:t>
            </w:r>
          </w:p>
        </w:tc>
      </w:tr>
      <w:tr w:rsidR="00313215" w:rsidRPr="007266F8"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7266F8" w:rsidRDefault="00313215" w:rsidP="00313215">
            <w:pPr>
              <w:jc w:val="center"/>
              <w:rPr>
                <w:rFonts w:cstheme="minorHAnsi"/>
                <w:i/>
                <w:sz w:val="18"/>
                <w:szCs w:val="18"/>
                <w:lang w:val="en-GB"/>
              </w:rPr>
            </w:pPr>
            <w:r w:rsidRPr="007266F8">
              <w:rPr>
                <w:rFonts w:eastAsia="Times New Roman" w:cstheme="minorHAnsi"/>
                <w:color w:val="000000" w:themeColor="text1"/>
                <w:sz w:val="18"/>
                <w:szCs w:val="18"/>
                <w:lang w:val="en-GB" w:eastAsia="tr-TR"/>
              </w:rPr>
              <w:t>Y</w:t>
            </w:r>
            <w:r w:rsidR="00233DBC" w:rsidRPr="007266F8">
              <w:rPr>
                <w:rFonts w:eastAsia="Times New Roman" w:cstheme="minorHAnsi"/>
                <w:color w:val="000000" w:themeColor="text1"/>
                <w:sz w:val="18"/>
                <w:szCs w:val="18"/>
                <w:lang w:val="en-GB" w:eastAsia="tr-TR"/>
              </w:rPr>
              <w:t xml:space="preserve">ear </w:t>
            </w:r>
          </w:p>
        </w:tc>
        <w:tc>
          <w:tcPr>
            <w:tcW w:w="2126" w:type="dxa"/>
          </w:tcPr>
          <w:p w:rsidR="00313215" w:rsidRPr="007266F8" w:rsidRDefault="0057037D"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7266F8">
              <w:rPr>
                <w:rFonts w:cstheme="minorHAnsi"/>
                <w:sz w:val="18"/>
                <w:szCs w:val="18"/>
                <w:lang w:val="en-GB"/>
              </w:rPr>
              <w:t>10</w:t>
            </w:r>
            <w:r w:rsidR="00233DBC" w:rsidRPr="007266F8">
              <w:rPr>
                <w:rFonts w:cstheme="minorHAnsi"/>
                <w:sz w:val="18"/>
                <w:szCs w:val="18"/>
                <w:lang w:val="en-GB"/>
              </w:rPr>
              <w:t>%</w:t>
            </w:r>
          </w:p>
        </w:tc>
      </w:tr>
      <w:tr w:rsidR="00313215" w:rsidRPr="007266F8"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7266F8" w:rsidRDefault="00233DBC" w:rsidP="00313215">
            <w:pPr>
              <w:jc w:val="center"/>
              <w:rPr>
                <w:rFonts w:cstheme="minorHAnsi"/>
                <w:i/>
                <w:sz w:val="18"/>
                <w:szCs w:val="18"/>
                <w:lang w:val="en-GB"/>
              </w:rPr>
            </w:pPr>
            <w:r w:rsidRPr="007266F8">
              <w:rPr>
                <w:rFonts w:eastAsia="Times New Roman" w:cstheme="minorHAnsi"/>
                <w:color w:val="000000" w:themeColor="text1"/>
                <w:sz w:val="18"/>
                <w:szCs w:val="18"/>
                <w:lang w:val="en-GB" w:eastAsia="tr-TR"/>
              </w:rPr>
              <w:t>Quarter</w:t>
            </w:r>
          </w:p>
        </w:tc>
        <w:tc>
          <w:tcPr>
            <w:tcW w:w="2126" w:type="dxa"/>
          </w:tcPr>
          <w:p w:rsidR="00313215" w:rsidRPr="007266F8" w:rsidRDefault="0057037D"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7266F8">
              <w:rPr>
                <w:rFonts w:eastAsia="Times New Roman" w:cstheme="minorHAnsi"/>
                <w:color w:val="000000" w:themeColor="text1"/>
                <w:sz w:val="18"/>
                <w:szCs w:val="18"/>
                <w:lang w:val="en-GB" w:eastAsia="tr-TR"/>
              </w:rPr>
              <w:t>3</w:t>
            </w:r>
            <w:r w:rsidR="00322F04" w:rsidRPr="007266F8">
              <w:rPr>
                <w:rFonts w:eastAsia="Times New Roman" w:cstheme="minorHAnsi"/>
                <w:color w:val="000000" w:themeColor="text1"/>
                <w:sz w:val="18"/>
                <w:szCs w:val="18"/>
                <w:lang w:val="en-GB" w:eastAsia="tr-TR"/>
              </w:rPr>
              <w:t>0</w:t>
            </w:r>
            <w:r w:rsidR="00233DBC" w:rsidRPr="007266F8">
              <w:rPr>
                <w:rFonts w:cstheme="minorHAnsi"/>
                <w:sz w:val="18"/>
                <w:szCs w:val="18"/>
                <w:lang w:val="en-GB"/>
              </w:rPr>
              <w:t>%</w:t>
            </w:r>
          </w:p>
        </w:tc>
      </w:tr>
      <w:tr w:rsidR="00313215" w:rsidRPr="007266F8"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7266F8" w:rsidRDefault="00233DBC" w:rsidP="00313215">
            <w:pPr>
              <w:jc w:val="center"/>
              <w:rPr>
                <w:rFonts w:cstheme="minorHAnsi"/>
                <w:i/>
                <w:sz w:val="18"/>
                <w:szCs w:val="18"/>
                <w:lang w:val="en-GB"/>
              </w:rPr>
            </w:pPr>
            <w:r w:rsidRPr="007266F8">
              <w:rPr>
                <w:rFonts w:eastAsia="Times New Roman" w:cstheme="minorHAnsi"/>
                <w:color w:val="000000" w:themeColor="text1"/>
                <w:sz w:val="18"/>
                <w:szCs w:val="18"/>
                <w:lang w:val="en-GB" w:eastAsia="tr-TR"/>
              </w:rPr>
              <w:t>Month</w:t>
            </w:r>
          </w:p>
        </w:tc>
        <w:tc>
          <w:tcPr>
            <w:tcW w:w="2126" w:type="dxa"/>
          </w:tcPr>
          <w:p w:rsidR="00313215" w:rsidRPr="007266F8"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7266F8">
              <w:rPr>
                <w:rFonts w:eastAsia="Times New Roman" w:cstheme="minorHAnsi"/>
                <w:color w:val="000000" w:themeColor="text1"/>
                <w:sz w:val="18"/>
                <w:szCs w:val="18"/>
                <w:lang w:val="en-GB" w:eastAsia="tr-TR"/>
              </w:rPr>
              <w:t>60</w:t>
            </w:r>
            <w:r w:rsidR="00233DBC" w:rsidRPr="007266F8">
              <w:rPr>
                <w:rFonts w:cstheme="minorHAnsi"/>
                <w:sz w:val="18"/>
                <w:szCs w:val="18"/>
                <w:lang w:val="en-GB"/>
              </w:rPr>
              <w:t>%</w:t>
            </w:r>
          </w:p>
        </w:tc>
      </w:tr>
      <w:tr w:rsidR="00313215" w:rsidRPr="007266F8"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7266F8" w:rsidRDefault="00233DBC" w:rsidP="00313215">
            <w:pPr>
              <w:jc w:val="center"/>
              <w:rPr>
                <w:rFonts w:cstheme="minorHAnsi"/>
                <w:i/>
                <w:sz w:val="18"/>
                <w:szCs w:val="18"/>
                <w:lang w:val="en-GB"/>
              </w:rPr>
            </w:pPr>
            <w:r w:rsidRPr="007266F8">
              <w:rPr>
                <w:rFonts w:eastAsia="Times New Roman" w:cstheme="minorHAnsi"/>
                <w:color w:val="000000" w:themeColor="text1"/>
                <w:sz w:val="18"/>
                <w:szCs w:val="18"/>
                <w:lang w:val="en-GB" w:eastAsia="tr-TR"/>
              </w:rPr>
              <w:t>Week</w:t>
            </w:r>
          </w:p>
        </w:tc>
        <w:tc>
          <w:tcPr>
            <w:tcW w:w="2126" w:type="dxa"/>
          </w:tcPr>
          <w:p w:rsidR="00313215" w:rsidRPr="007266F8"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7266F8">
              <w:rPr>
                <w:rFonts w:cstheme="minorHAnsi"/>
                <w:sz w:val="18"/>
                <w:szCs w:val="18"/>
                <w:lang w:val="en-GB"/>
              </w:rPr>
              <w:t>0</w:t>
            </w:r>
            <w:r w:rsidR="00233DBC" w:rsidRPr="007266F8">
              <w:rPr>
                <w:rFonts w:cstheme="minorHAnsi"/>
                <w:sz w:val="18"/>
                <w:szCs w:val="18"/>
                <w:lang w:val="en-GB"/>
              </w:rPr>
              <w:t>%</w:t>
            </w:r>
          </w:p>
        </w:tc>
      </w:tr>
      <w:tr w:rsidR="00313215" w:rsidRPr="007266F8"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AD13B0" w:rsidRPr="007266F8" w:rsidRDefault="00233DBC" w:rsidP="00F31B3F">
            <w:pPr>
              <w:jc w:val="center"/>
              <w:rPr>
                <w:rFonts w:eastAsia="Times New Roman" w:cstheme="minorHAnsi"/>
                <w:color w:val="000000" w:themeColor="text1"/>
                <w:sz w:val="18"/>
                <w:szCs w:val="18"/>
                <w:lang w:val="en-GB" w:eastAsia="tr-TR"/>
              </w:rPr>
            </w:pPr>
            <w:r w:rsidRPr="007266F8">
              <w:rPr>
                <w:rFonts w:eastAsia="Times New Roman" w:cstheme="minorHAnsi"/>
                <w:color w:val="000000" w:themeColor="text1"/>
                <w:sz w:val="18"/>
                <w:szCs w:val="18"/>
                <w:lang w:val="en-GB" w:eastAsia="tr-TR"/>
              </w:rPr>
              <w:t>Day</w:t>
            </w:r>
          </w:p>
        </w:tc>
        <w:tc>
          <w:tcPr>
            <w:tcW w:w="2126" w:type="dxa"/>
          </w:tcPr>
          <w:p w:rsidR="00313215" w:rsidRPr="007266F8"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7266F8">
              <w:rPr>
                <w:rFonts w:cstheme="minorHAnsi"/>
                <w:sz w:val="18"/>
                <w:szCs w:val="18"/>
                <w:lang w:val="en-GB"/>
              </w:rPr>
              <w:t>0</w:t>
            </w:r>
            <w:r w:rsidR="00233DBC" w:rsidRPr="007266F8">
              <w:rPr>
                <w:rFonts w:cstheme="minorHAnsi"/>
                <w:sz w:val="18"/>
                <w:szCs w:val="18"/>
                <w:lang w:val="en-GB"/>
              </w:rPr>
              <w:t>%</w:t>
            </w:r>
          </w:p>
        </w:tc>
      </w:tr>
    </w:tbl>
    <w:p w:rsidR="00F31B3F" w:rsidRPr="007266F8" w:rsidRDefault="00313215" w:rsidP="00A70C17">
      <w:pPr>
        <w:pStyle w:val="Caption"/>
        <w:jc w:val="center"/>
        <w:rPr>
          <w:rFonts w:cstheme="minorHAnsi"/>
          <w:sz w:val="16"/>
          <w:lang w:val="en-GB"/>
        </w:rPr>
      </w:pPr>
      <w:r w:rsidRPr="007266F8">
        <w:rPr>
          <w:rFonts w:cstheme="minorHAnsi"/>
          <w:lang w:val="en-GB"/>
        </w:rPr>
        <w:t xml:space="preserve"> </w:t>
      </w:r>
      <w:bookmarkStart w:id="6" w:name="_Toc102051369"/>
      <w:r w:rsidRPr="007266F8">
        <w:rPr>
          <w:rFonts w:cstheme="minorHAnsi"/>
          <w:sz w:val="16"/>
          <w:lang w:val="en-GB"/>
        </w:rPr>
        <w:t>Tabl</w:t>
      </w:r>
      <w:r w:rsidR="00233DBC" w:rsidRPr="007266F8">
        <w:rPr>
          <w:rFonts w:cstheme="minorHAnsi"/>
          <w:sz w:val="16"/>
          <w:lang w:val="en-GB"/>
        </w:rPr>
        <w:t>e</w:t>
      </w:r>
      <w:r w:rsidRPr="007266F8">
        <w:rPr>
          <w:rFonts w:cstheme="minorHAnsi"/>
          <w:sz w:val="16"/>
          <w:lang w:val="en-GB"/>
        </w:rPr>
        <w:t xml:space="preserve"> </w:t>
      </w:r>
      <w:r w:rsidR="00D00A6F" w:rsidRPr="007266F8">
        <w:rPr>
          <w:rFonts w:cstheme="minorHAnsi"/>
          <w:sz w:val="16"/>
          <w:lang w:val="en-GB"/>
        </w:rPr>
        <w:fldChar w:fldCharType="begin"/>
      </w:r>
      <w:r w:rsidR="00B56224"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00D12D06" w:rsidRPr="007266F8">
        <w:rPr>
          <w:rFonts w:cstheme="minorHAnsi"/>
          <w:noProof/>
          <w:sz w:val="16"/>
          <w:lang w:val="en-GB"/>
        </w:rPr>
        <w:t>2</w:t>
      </w:r>
      <w:r w:rsidR="00D00A6F" w:rsidRPr="007266F8">
        <w:rPr>
          <w:rFonts w:cstheme="minorHAnsi"/>
          <w:sz w:val="16"/>
          <w:lang w:val="en-GB"/>
        </w:rPr>
        <w:fldChar w:fldCharType="end"/>
      </w:r>
      <w:r w:rsidRPr="007266F8">
        <w:rPr>
          <w:rFonts w:cstheme="minorHAnsi"/>
          <w:sz w:val="16"/>
          <w:lang w:val="en-GB"/>
        </w:rPr>
        <w:t xml:space="preserve"> </w:t>
      </w:r>
      <w:r w:rsidR="00532E03">
        <w:rPr>
          <w:rFonts w:cstheme="minorHAnsi"/>
          <w:sz w:val="16"/>
          <w:lang w:val="en-GB"/>
        </w:rPr>
        <w:t>Shares</w:t>
      </w:r>
      <w:r w:rsidR="00A70C17" w:rsidRPr="007266F8">
        <w:rPr>
          <w:rFonts w:cstheme="minorHAnsi"/>
          <w:sz w:val="16"/>
          <w:lang w:val="en-GB"/>
        </w:rPr>
        <w:t xml:space="preserve"> of </w:t>
      </w:r>
      <w:r w:rsidR="00233DBC" w:rsidRPr="007266F8">
        <w:rPr>
          <w:rFonts w:cstheme="minorHAnsi"/>
          <w:sz w:val="16"/>
          <w:lang w:val="en-GB"/>
        </w:rPr>
        <w:t xml:space="preserve">Market Position Limit </w:t>
      </w:r>
      <w:r w:rsidR="00A70C17" w:rsidRPr="007266F8">
        <w:rPr>
          <w:rFonts w:cstheme="minorHAnsi"/>
          <w:sz w:val="16"/>
          <w:lang w:val="en-GB"/>
        </w:rPr>
        <w:t xml:space="preserve">on </w:t>
      </w:r>
      <w:r w:rsidR="00233DBC" w:rsidRPr="007266F8">
        <w:rPr>
          <w:rFonts w:cstheme="minorHAnsi"/>
          <w:sz w:val="16"/>
          <w:lang w:val="en-GB"/>
        </w:rPr>
        <w:t>Delivery Period</w:t>
      </w:r>
      <w:r w:rsidR="00A70C17" w:rsidRPr="007266F8">
        <w:rPr>
          <w:rFonts w:cstheme="minorHAnsi"/>
          <w:sz w:val="16"/>
          <w:lang w:val="en-GB"/>
        </w:rPr>
        <w:t xml:space="preserve"> Basis</w:t>
      </w:r>
      <w:bookmarkEnd w:id="6"/>
      <w:r w:rsidR="00A70C17" w:rsidRPr="007266F8">
        <w:rPr>
          <w:rFonts w:cstheme="minorHAnsi"/>
          <w:sz w:val="16"/>
          <w:lang w:val="en-GB"/>
        </w:rPr>
        <w:t xml:space="preserve"> </w:t>
      </w:r>
    </w:p>
    <w:tbl>
      <w:tblPr>
        <w:tblW w:w="10013" w:type="dxa"/>
        <w:tblInd w:w="-10" w:type="dxa"/>
        <w:tblCellMar>
          <w:left w:w="70" w:type="dxa"/>
          <w:right w:w="70" w:type="dxa"/>
        </w:tblCellMar>
        <w:tblLook w:val="04A0" w:firstRow="1" w:lastRow="0" w:firstColumn="1" w:lastColumn="0" w:noHBand="0" w:noVBand="1"/>
      </w:tblPr>
      <w:tblGrid>
        <w:gridCol w:w="1051"/>
        <w:gridCol w:w="1481"/>
        <w:gridCol w:w="1724"/>
        <w:gridCol w:w="1992"/>
        <w:gridCol w:w="1904"/>
        <w:gridCol w:w="1861"/>
      </w:tblGrid>
      <w:tr w:rsidR="0057037D" w:rsidRPr="007266F8" w:rsidTr="001869B0">
        <w:trPr>
          <w:trHeight w:val="220"/>
        </w:trPr>
        <w:tc>
          <w:tcPr>
            <w:tcW w:w="105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562FC" w:rsidRPr="007266F8" w:rsidRDefault="005562FC" w:rsidP="001869B0">
            <w:pPr>
              <w:spacing w:after="0" w:line="240" w:lineRule="auto"/>
              <w:jc w:val="center"/>
              <w:rPr>
                <w:rFonts w:ascii="Calibri" w:eastAsia="Times New Roman" w:hAnsi="Calibri" w:cs="Calibri"/>
                <w:b/>
                <w:bCs/>
                <w:i/>
                <w:iCs/>
                <w:color w:val="000000"/>
                <w:sz w:val="18"/>
                <w:szCs w:val="18"/>
                <w:lang w:val="en-GB" w:eastAsia="tr-TR"/>
              </w:rPr>
            </w:pPr>
          </w:p>
          <w:p w:rsidR="0057037D" w:rsidRPr="007266F8" w:rsidRDefault="0057037D" w:rsidP="001869B0">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2021</w:t>
            </w:r>
          </w:p>
          <w:p w:rsidR="0057037D" w:rsidRPr="007266F8" w:rsidRDefault="0057037D" w:rsidP="001869B0">
            <w:pPr>
              <w:spacing w:after="0" w:line="240" w:lineRule="auto"/>
              <w:jc w:val="center"/>
              <w:rPr>
                <w:rFonts w:ascii="Calibri" w:eastAsia="Times New Roman" w:hAnsi="Calibri" w:cs="Calibri"/>
                <w:b/>
                <w:bCs/>
                <w:i/>
                <w:iCs/>
                <w:color w:val="000000"/>
                <w:sz w:val="18"/>
                <w:szCs w:val="18"/>
                <w:lang w:val="en-GB" w:eastAsia="tr-TR"/>
              </w:rPr>
            </w:pPr>
          </w:p>
        </w:tc>
        <w:tc>
          <w:tcPr>
            <w:tcW w:w="148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7266F8" w:rsidRDefault="00671373" w:rsidP="00671373">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 xml:space="preserve">Scenario </w:t>
            </w:r>
            <w:r w:rsidR="0057037D" w:rsidRPr="007266F8">
              <w:rPr>
                <w:rFonts w:ascii="Calibri" w:eastAsia="Times New Roman" w:hAnsi="Calibri" w:cs="Calibri"/>
                <w:b/>
                <w:bCs/>
                <w:i/>
                <w:iCs/>
                <w:color w:val="000000"/>
                <w:sz w:val="18"/>
                <w:szCs w:val="18"/>
                <w:lang w:val="en-GB" w:eastAsia="tr-TR"/>
              </w:rPr>
              <w:t xml:space="preserve">2 </w:t>
            </w:r>
            <w:r w:rsidRPr="007266F8">
              <w:rPr>
                <w:rFonts w:ascii="Calibri" w:eastAsia="Times New Roman" w:hAnsi="Calibri" w:cs="Calibri"/>
                <w:b/>
                <w:bCs/>
                <w:i/>
                <w:iCs/>
                <w:color w:val="000000"/>
                <w:sz w:val="18"/>
                <w:szCs w:val="18"/>
                <w:lang w:val="en-GB" w:eastAsia="tr-TR"/>
              </w:rPr>
              <w:t xml:space="preserve">Consumption Estimate </w:t>
            </w:r>
          </w:p>
        </w:tc>
        <w:tc>
          <w:tcPr>
            <w:tcW w:w="1724"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7266F8" w:rsidRDefault="00671373" w:rsidP="0057037D">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 xml:space="preserve">Market Position Limit </w:t>
            </w:r>
          </w:p>
        </w:tc>
        <w:tc>
          <w:tcPr>
            <w:tcW w:w="199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7266F8" w:rsidRDefault="00EF4B1D" w:rsidP="00EF4B1D">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 xml:space="preserve">Yearly Contract Market Position Limit </w:t>
            </w:r>
          </w:p>
        </w:tc>
        <w:tc>
          <w:tcPr>
            <w:tcW w:w="1904"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7266F8" w:rsidRDefault="00EF4B1D" w:rsidP="00EF4B1D">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Quarterly Contracts Market Position Limit</w:t>
            </w:r>
          </w:p>
        </w:tc>
        <w:tc>
          <w:tcPr>
            <w:tcW w:w="186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7266F8" w:rsidRDefault="00EF4B1D" w:rsidP="0057037D">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Monthly Contracts Market Position Limit</w:t>
            </w:r>
          </w:p>
        </w:tc>
      </w:tr>
      <w:tr w:rsidR="0057037D" w:rsidRPr="007266F8" w:rsidTr="0057037D">
        <w:trPr>
          <w:trHeight w:val="450"/>
        </w:trPr>
        <w:tc>
          <w:tcPr>
            <w:tcW w:w="1051"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481"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724"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992"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904"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861"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r>
      <w:tr w:rsidR="0057037D" w:rsidRPr="007266F8" w:rsidTr="0057037D">
        <w:trPr>
          <w:trHeight w:val="450"/>
        </w:trPr>
        <w:tc>
          <w:tcPr>
            <w:tcW w:w="1051"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481"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724"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992"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904"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c>
          <w:tcPr>
            <w:tcW w:w="1861" w:type="dxa"/>
            <w:vMerge/>
            <w:tcBorders>
              <w:top w:val="single" w:sz="8" w:space="0" w:color="BDD6EE"/>
              <w:left w:val="single" w:sz="8" w:space="0" w:color="BDD6EE"/>
              <w:bottom w:val="single" w:sz="12" w:space="0" w:color="9CC2E5"/>
              <w:right w:val="single" w:sz="8" w:space="0" w:color="BDD6EE"/>
            </w:tcBorders>
            <w:vAlign w:val="center"/>
            <w:hideMark/>
          </w:tcPr>
          <w:p w:rsidR="0057037D" w:rsidRPr="007266F8" w:rsidRDefault="0057037D" w:rsidP="0057037D">
            <w:pPr>
              <w:spacing w:after="0" w:line="240" w:lineRule="auto"/>
              <w:rPr>
                <w:rFonts w:ascii="Calibri" w:eastAsia="Times New Roman" w:hAnsi="Calibri" w:cs="Calibri"/>
                <w:b/>
                <w:bCs/>
                <w:i/>
                <w:iCs/>
                <w:color w:val="000000"/>
                <w:sz w:val="18"/>
                <w:szCs w:val="18"/>
                <w:lang w:val="en-GB" w:eastAsia="tr-TR"/>
              </w:rPr>
            </w:pPr>
          </w:p>
        </w:tc>
      </w:tr>
      <w:tr w:rsidR="0057037D" w:rsidRPr="007266F8" w:rsidTr="0057037D">
        <w:trPr>
          <w:trHeight w:val="183"/>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MWh</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344.400.000</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172.200.000</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51.660.000</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103.320.000</w:t>
            </w:r>
          </w:p>
        </w:tc>
      </w:tr>
      <w:tr w:rsidR="0057037D" w:rsidRPr="007266F8"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MW</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39.315</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19.658</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1.966</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5.897</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11.795</w:t>
            </w:r>
          </w:p>
        </w:tc>
      </w:tr>
      <w:tr w:rsidR="0057037D" w:rsidRPr="007266F8"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Lot </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3.444.000.000</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1.722.000.000</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172.200.000</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516.600.000</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1.033.200.000</w:t>
            </w:r>
          </w:p>
        </w:tc>
      </w:tr>
      <w:tr w:rsidR="0057037D" w:rsidRPr="007266F8"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7266F8" w:rsidRDefault="00EF4B1D" w:rsidP="0057037D">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Hourly</w:t>
            </w:r>
            <w:r w:rsidR="0057037D" w:rsidRPr="007266F8">
              <w:rPr>
                <w:rFonts w:ascii="Calibri" w:eastAsia="Times New Roman" w:hAnsi="Calibri" w:cs="Calibri"/>
                <w:b/>
                <w:bCs/>
                <w:color w:val="000000"/>
                <w:sz w:val="18"/>
                <w:szCs w:val="18"/>
                <w:lang w:val="en-GB" w:eastAsia="tr-TR"/>
              </w:rPr>
              <w:t xml:space="preserve"> Lot</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393.151</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196.575</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19.658</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58.973</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7266F8" w:rsidRDefault="0057037D" w:rsidP="0057037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117.945</w:t>
            </w:r>
          </w:p>
        </w:tc>
      </w:tr>
    </w:tbl>
    <w:p w:rsidR="000B616B" w:rsidRPr="007266F8" w:rsidRDefault="00313215" w:rsidP="00A70C17">
      <w:pPr>
        <w:pStyle w:val="Caption"/>
        <w:keepNext/>
        <w:jc w:val="center"/>
        <w:rPr>
          <w:rFonts w:cstheme="minorHAnsi"/>
          <w:sz w:val="16"/>
          <w:lang w:val="en-GB"/>
        </w:rPr>
      </w:pPr>
      <w:bookmarkStart w:id="7" w:name="_Toc102051370"/>
      <w:r w:rsidRPr="007266F8">
        <w:rPr>
          <w:rFonts w:cstheme="minorHAnsi"/>
          <w:sz w:val="16"/>
          <w:lang w:val="en-GB"/>
        </w:rPr>
        <w:t>Tabl</w:t>
      </w:r>
      <w:r w:rsidR="00EF4B1D" w:rsidRPr="007266F8">
        <w:rPr>
          <w:rFonts w:cstheme="minorHAnsi"/>
          <w:sz w:val="16"/>
          <w:lang w:val="en-GB"/>
        </w:rPr>
        <w:t>e</w:t>
      </w:r>
      <w:r w:rsidRPr="007266F8">
        <w:rPr>
          <w:rFonts w:cstheme="minorHAnsi"/>
          <w:sz w:val="16"/>
          <w:lang w:val="en-GB"/>
        </w:rPr>
        <w:t xml:space="preserve"> </w:t>
      </w:r>
      <w:r w:rsidR="00D00A6F" w:rsidRPr="007266F8">
        <w:rPr>
          <w:rFonts w:cstheme="minorHAnsi"/>
          <w:sz w:val="16"/>
          <w:lang w:val="en-GB"/>
        </w:rPr>
        <w:fldChar w:fldCharType="begin"/>
      </w:r>
      <w:r w:rsidR="00B56224"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00D12D06" w:rsidRPr="007266F8">
        <w:rPr>
          <w:rFonts w:cstheme="minorHAnsi"/>
          <w:noProof/>
          <w:sz w:val="16"/>
          <w:lang w:val="en-GB"/>
        </w:rPr>
        <w:t>3</w:t>
      </w:r>
      <w:r w:rsidR="00D00A6F" w:rsidRPr="007266F8">
        <w:rPr>
          <w:rFonts w:cstheme="minorHAnsi"/>
          <w:sz w:val="16"/>
          <w:lang w:val="en-GB"/>
        </w:rPr>
        <w:fldChar w:fldCharType="end"/>
      </w:r>
      <w:r w:rsidRPr="007266F8">
        <w:rPr>
          <w:rFonts w:cstheme="minorHAnsi"/>
          <w:sz w:val="16"/>
          <w:lang w:val="en-GB"/>
        </w:rPr>
        <w:t xml:space="preserve"> </w:t>
      </w:r>
      <w:r w:rsidR="00532E03">
        <w:rPr>
          <w:rFonts w:cstheme="minorHAnsi"/>
          <w:sz w:val="16"/>
          <w:lang w:val="en-GB"/>
        </w:rPr>
        <w:t>Allocation</w:t>
      </w:r>
      <w:r w:rsidR="00A70C17" w:rsidRPr="007266F8">
        <w:rPr>
          <w:rFonts w:cstheme="minorHAnsi"/>
          <w:sz w:val="16"/>
          <w:lang w:val="en-GB"/>
        </w:rPr>
        <w:t xml:space="preserve"> of Total Market Limits to</w:t>
      </w:r>
      <w:r w:rsidR="00EF4B1D" w:rsidRPr="007266F8">
        <w:rPr>
          <w:rFonts w:cstheme="minorHAnsi"/>
          <w:sz w:val="16"/>
          <w:lang w:val="en-GB"/>
        </w:rPr>
        <w:t xml:space="preserve"> Maturity Types</w:t>
      </w:r>
      <w:bookmarkEnd w:id="7"/>
      <w:r w:rsidR="00EF4B1D" w:rsidRPr="007266F8">
        <w:rPr>
          <w:rFonts w:cstheme="minorHAnsi"/>
          <w:sz w:val="16"/>
          <w:lang w:val="en-GB"/>
        </w:rPr>
        <w:t xml:space="preserve"> </w:t>
      </w:r>
    </w:p>
    <w:p w:rsidR="000B616B" w:rsidRPr="007266F8" w:rsidRDefault="00EF4B1D" w:rsidP="00EF4B1D">
      <w:pPr>
        <w:pStyle w:val="Heading3"/>
        <w:numPr>
          <w:ilvl w:val="2"/>
          <w:numId w:val="6"/>
        </w:numPr>
        <w:rPr>
          <w:rFonts w:cstheme="majorHAnsi"/>
          <w:lang w:val="en-GB"/>
        </w:rPr>
      </w:pPr>
      <w:bookmarkStart w:id="8" w:name="_Toc102051397"/>
      <w:r w:rsidRPr="007266F8">
        <w:rPr>
          <w:rFonts w:cstheme="majorHAnsi"/>
          <w:lang w:val="en-GB"/>
        </w:rPr>
        <w:t>Calculation of Market Position Limits for the Yearly Contracts</w:t>
      </w:r>
      <w:bookmarkEnd w:id="8"/>
      <w:r w:rsidRPr="007266F8">
        <w:rPr>
          <w:rFonts w:cstheme="majorHAnsi"/>
          <w:lang w:val="en-GB"/>
        </w:rPr>
        <w:t xml:space="preserve"> </w:t>
      </w:r>
    </w:p>
    <w:p w:rsidR="000B616B" w:rsidRPr="007266F8" w:rsidRDefault="00EF4B1D" w:rsidP="00EF4B1D">
      <w:pPr>
        <w:rPr>
          <w:lang w:val="en-GB" w:eastAsia="tr-TR"/>
        </w:rPr>
      </w:pPr>
      <w:r w:rsidRPr="007266F8">
        <w:rPr>
          <w:lang w:val="en-GB" w:eastAsia="tr-TR"/>
        </w:rPr>
        <w:t>10% of total market position limits shall be calculated as market position limit for the yearly contracts</w:t>
      </w:r>
      <w:r w:rsidR="000B616B" w:rsidRPr="007266F8">
        <w:rPr>
          <w:lang w:val="en-GB" w:eastAsia="tr-TR"/>
        </w:rPr>
        <w:t>.</w:t>
      </w:r>
    </w:p>
    <w:tbl>
      <w:tblPr>
        <w:tblW w:w="9459" w:type="dxa"/>
        <w:tblCellMar>
          <w:left w:w="70" w:type="dxa"/>
          <w:right w:w="70" w:type="dxa"/>
        </w:tblCellMar>
        <w:tblLook w:val="04A0" w:firstRow="1" w:lastRow="0" w:firstColumn="1" w:lastColumn="0" w:noHBand="0" w:noVBand="1"/>
      </w:tblPr>
      <w:tblGrid>
        <w:gridCol w:w="3008"/>
        <w:gridCol w:w="2898"/>
        <w:gridCol w:w="3553"/>
      </w:tblGrid>
      <w:tr w:rsidR="000B616B" w:rsidRPr="007266F8" w:rsidTr="000B616B">
        <w:trPr>
          <w:trHeight w:val="220"/>
        </w:trPr>
        <w:tc>
          <w:tcPr>
            <w:tcW w:w="300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7266F8" w:rsidRDefault="000B616B" w:rsidP="000B616B">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2021</w:t>
            </w:r>
          </w:p>
        </w:tc>
        <w:tc>
          <w:tcPr>
            <w:tcW w:w="289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7266F8" w:rsidRDefault="00EF4B1D" w:rsidP="0098115D">
            <w:pPr>
              <w:spacing w:after="0" w:line="240" w:lineRule="auto"/>
              <w:jc w:val="center"/>
              <w:rPr>
                <w:rFonts w:ascii="Calibri" w:eastAsia="Times New Roman" w:hAnsi="Calibri" w:cs="Calibri"/>
                <w:i/>
                <w:iCs/>
                <w:color w:val="000000"/>
                <w:sz w:val="16"/>
                <w:szCs w:val="16"/>
                <w:lang w:val="en-GB" w:eastAsia="tr-TR"/>
              </w:rPr>
            </w:pPr>
            <w:r w:rsidRPr="007266F8">
              <w:rPr>
                <w:rFonts w:ascii="Calibri" w:eastAsia="Times New Roman" w:hAnsi="Calibri" w:cs="Calibri"/>
                <w:b/>
                <w:bCs/>
                <w:i/>
                <w:iCs/>
                <w:color w:val="000000"/>
                <w:sz w:val="18"/>
                <w:szCs w:val="18"/>
                <w:lang w:val="en-GB" w:eastAsia="tr-TR"/>
              </w:rPr>
              <w:t xml:space="preserve">Market Position Limit </w:t>
            </w:r>
          </w:p>
        </w:tc>
        <w:tc>
          <w:tcPr>
            <w:tcW w:w="355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7266F8" w:rsidRDefault="000B616B" w:rsidP="00EF4B1D">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8"/>
                <w:szCs w:val="18"/>
                <w:lang w:val="en-GB" w:eastAsia="tr-TR"/>
              </w:rPr>
              <w:t>Y</w:t>
            </w:r>
            <w:r w:rsidR="00EF4B1D" w:rsidRPr="007266F8">
              <w:rPr>
                <w:rFonts w:ascii="Calibri" w:eastAsia="Times New Roman" w:hAnsi="Calibri" w:cs="Calibri"/>
                <w:b/>
                <w:bCs/>
                <w:i/>
                <w:iCs/>
                <w:color w:val="000000"/>
                <w:sz w:val="18"/>
                <w:szCs w:val="18"/>
                <w:lang w:val="en-GB" w:eastAsia="tr-TR"/>
              </w:rPr>
              <w:t xml:space="preserve">early Contract Market Position Limit </w:t>
            </w:r>
          </w:p>
        </w:tc>
      </w:tr>
      <w:tr w:rsidR="000B616B" w:rsidRPr="007266F8" w:rsidTr="000B616B">
        <w:trPr>
          <w:trHeight w:val="450"/>
        </w:trPr>
        <w:tc>
          <w:tcPr>
            <w:tcW w:w="300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7266F8" w:rsidRDefault="000B616B" w:rsidP="0098115D">
            <w:pPr>
              <w:spacing w:after="0" w:line="240" w:lineRule="auto"/>
              <w:rPr>
                <w:rFonts w:ascii="Calibri" w:eastAsia="Times New Roman" w:hAnsi="Calibri" w:cs="Calibri"/>
                <w:b/>
                <w:bCs/>
                <w:i/>
                <w:iCs/>
                <w:color w:val="000000"/>
                <w:sz w:val="16"/>
                <w:szCs w:val="16"/>
                <w:lang w:val="en-GB" w:eastAsia="tr-TR"/>
              </w:rPr>
            </w:pPr>
          </w:p>
        </w:tc>
        <w:tc>
          <w:tcPr>
            <w:tcW w:w="289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7266F8" w:rsidRDefault="000B616B" w:rsidP="0098115D">
            <w:pPr>
              <w:spacing w:after="0" w:line="240" w:lineRule="auto"/>
              <w:rPr>
                <w:rFonts w:ascii="Calibri" w:eastAsia="Times New Roman" w:hAnsi="Calibri" w:cs="Calibri"/>
                <w:i/>
                <w:iCs/>
                <w:color w:val="000000"/>
                <w:sz w:val="16"/>
                <w:szCs w:val="16"/>
                <w:lang w:val="en-GB" w:eastAsia="tr-TR"/>
              </w:rPr>
            </w:pPr>
          </w:p>
        </w:tc>
        <w:tc>
          <w:tcPr>
            <w:tcW w:w="355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7266F8" w:rsidRDefault="000B616B" w:rsidP="0098115D">
            <w:pPr>
              <w:spacing w:after="0" w:line="240" w:lineRule="auto"/>
              <w:rPr>
                <w:rFonts w:ascii="Calibri" w:eastAsia="Times New Roman" w:hAnsi="Calibri" w:cs="Calibri"/>
                <w:b/>
                <w:bCs/>
                <w:i/>
                <w:iCs/>
                <w:color w:val="000000"/>
                <w:sz w:val="16"/>
                <w:szCs w:val="16"/>
                <w:lang w:val="en-GB" w:eastAsia="tr-TR"/>
              </w:rPr>
            </w:pPr>
          </w:p>
        </w:tc>
      </w:tr>
      <w:tr w:rsidR="000B616B" w:rsidRPr="007266F8"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7266F8" w:rsidRDefault="000B616B" w:rsidP="000B616B">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MWh</w:t>
            </w:r>
          </w:p>
        </w:tc>
        <w:tc>
          <w:tcPr>
            <w:tcW w:w="2898" w:type="dxa"/>
            <w:tcBorders>
              <w:top w:val="nil"/>
              <w:left w:val="nil"/>
              <w:bottom w:val="single" w:sz="8" w:space="0" w:color="BDD6EE"/>
              <w:right w:val="single" w:sz="8" w:space="0" w:color="BDD6EE"/>
            </w:tcBorders>
            <w:shd w:val="clear" w:color="auto" w:fill="auto"/>
            <w:noWrap/>
            <w:vAlign w:val="center"/>
          </w:tcPr>
          <w:p w:rsidR="000B616B" w:rsidRPr="007266F8" w:rsidRDefault="000B616B" w:rsidP="000B616B">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172.200.000</w:t>
            </w:r>
          </w:p>
        </w:tc>
        <w:tc>
          <w:tcPr>
            <w:tcW w:w="3553" w:type="dxa"/>
            <w:tcBorders>
              <w:top w:val="nil"/>
              <w:left w:val="nil"/>
              <w:bottom w:val="single" w:sz="8" w:space="0" w:color="BDD6EE"/>
              <w:right w:val="single" w:sz="8" w:space="0" w:color="BDD6EE"/>
            </w:tcBorders>
            <w:shd w:val="clear" w:color="auto" w:fill="auto"/>
            <w:noWrap/>
            <w:vAlign w:val="center"/>
          </w:tcPr>
          <w:p w:rsidR="000B616B" w:rsidRPr="007266F8" w:rsidRDefault="000B616B" w:rsidP="000B616B">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w:t>
            </w:r>
          </w:p>
        </w:tc>
      </w:tr>
      <w:tr w:rsidR="000B616B" w:rsidRPr="007266F8"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7266F8" w:rsidRDefault="000B616B" w:rsidP="000B616B">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MW</w:t>
            </w:r>
          </w:p>
        </w:tc>
        <w:tc>
          <w:tcPr>
            <w:tcW w:w="2898" w:type="dxa"/>
            <w:tcBorders>
              <w:top w:val="nil"/>
              <w:left w:val="nil"/>
              <w:bottom w:val="single" w:sz="8" w:space="0" w:color="BDD6EE"/>
              <w:right w:val="single" w:sz="8" w:space="0" w:color="BDD6EE"/>
            </w:tcBorders>
            <w:shd w:val="clear" w:color="auto" w:fill="auto"/>
            <w:noWrap/>
            <w:vAlign w:val="center"/>
          </w:tcPr>
          <w:p w:rsidR="000B616B" w:rsidRPr="007266F8" w:rsidRDefault="000B616B" w:rsidP="000B616B">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19.658</w:t>
            </w:r>
          </w:p>
        </w:tc>
        <w:tc>
          <w:tcPr>
            <w:tcW w:w="3553" w:type="dxa"/>
            <w:tcBorders>
              <w:top w:val="nil"/>
              <w:left w:val="nil"/>
              <w:bottom w:val="single" w:sz="8" w:space="0" w:color="BDD6EE"/>
              <w:right w:val="single" w:sz="8" w:space="0" w:color="BDD6EE"/>
            </w:tcBorders>
            <w:shd w:val="clear" w:color="auto" w:fill="auto"/>
            <w:noWrap/>
            <w:vAlign w:val="center"/>
          </w:tcPr>
          <w:p w:rsidR="000B616B" w:rsidRPr="007266F8" w:rsidRDefault="000B616B" w:rsidP="000B616B">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1.966</w:t>
            </w:r>
          </w:p>
        </w:tc>
      </w:tr>
      <w:tr w:rsidR="000B616B" w:rsidRPr="007266F8"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7266F8" w:rsidRDefault="000B616B" w:rsidP="000B616B">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Lot </w:t>
            </w:r>
          </w:p>
        </w:tc>
        <w:tc>
          <w:tcPr>
            <w:tcW w:w="2898" w:type="dxa"/>
            <w:tcBorders>
              <w:top w:val="nil"/>
              <w:left w:val="nil"/>
              <w:bottom w:val="single" w:sz="8" w:space="0" w:color="BDD6EE"/>
              <w:right w:val="single" w:sz="8" w:space="0" w:color="BDD6EE"/>
            </w:tcBorders>
            <w:shd w:val="clear" w:color="auto" w:fill="auto"/>
            <w:noWrap/>
            <w:vAlign w:val="center"/>
          </w:tcPr>
          <w:p w:rsidR="000B616B" w:rsidRPr="007266F8" w:rsidRDefault="000B616B" w:rsidP="000B616B">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1.722.000.000</w:t>
            </w:r>
          </w:p>
        </w:tc>
        <w:tc>
          <w:tcPr>
            <w:tcW w:w="3553" w:type="dxa"/>
            <w:tcBorders>
              <w:top w:val="nil"/>
              <w:left w:val="nil"/>
              <w:bottom w:val="single" w:sz="8" w:space="0" w:color="BDD6EE"/>
              <w:right w:val="single" w:sz="8" w:space="0" w:color="BDD6EE"/>
            </w:tcBorders>
            <w:shd w:val="clear" w:color="auto" w:fill="auto"/>
            <w:noWrap/>
            <w:vAlign w:val="center"/>
          </w:tcPr>
          <w:p w:rsidR="000B616B" w:rsidRPr="007266F8" w:rsidRDefault="000B616B" w:rsidP="000B616B">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172.200.000</w:t>
            </w:r>
          </w:p>
        </w:tc>
      </w:tr>
      <w:tr w:rsidR="000B616B" w:rsidRPr="007266F8"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7266F8" w:rsidRDefault="00EF4B1D" w:rsidP="000B616B">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Hourly</w:t>
            </w:r>
            <w:r w:rsidR="000B616B" w:rsidRPr="007266F8">
              <w:rPr>
                <w:rFonts w:ascii="Calibri" w:eastAsia="Times New Roman" w:hAnsi="Calibri" w:cs="Calibri"/>
                <w:b/>
                <w:bCs/>
                <w:color w:val="000000"/>
                <w:sz w:val="18"/>
                <w:szCs w:val="18"/>
                <w:lang w:val="en-GB" w:eastAsia="tr-TR"/>
              </w:rPr>
              <w:t xml:space="preserve"> Lot</w:t>
            </w:r>
          </w:p>
        </w:tc>
        <w:tc>
          <w:tcPr>
            <w:tcW w:w="2898" w:type="dxa"/>
            <w:tcBorders>
              <w:top w:val="nil"/>
              <w:left w:val="nil"/>
              <w:bottom w:val="single" w:sz="8" w:space="0" w:color="BDD6EE"/>
              <w:right w:val="single" w:sz="8" w:space="0" w:color="BDD6EE"/>
            </w:tcBorders>
            <w:shd w:val="clear" w:color="auto" w:fill="auto"/>
            <w:noWrap/>
            <w:vAlign w:val="center"/>
          </w:tcPr>
          <w:p w:rsidR="000B616B" w:rsidRPr="007266F8" w:rsidRDefault="000B616B" w:rsidP="000B616B">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196.575</w:t>
            </w:r>
          </w:p>
        </w:tc>
        <w:tc>
          <w:tcPr>
            <w:tcW w:w="3553" w:type="dxa"/>
            <w:tcBorders>
              <w:top w:val="nil"/>
              <w:left w:val="nil"/>
              <w:bottom w:val="single" w:sz="8" w:space="0" w:color="BDD6EE"/>
              <w:right w:val="single" w:sz="8" w:space="0" w:color="BDD6EE"/>
            </w:tcBorders>
            <w:shd w:val="clear" w:color="auto" w:fill="auto"/>
            <w:noWrap/>
            <w:vAlign w:val="center"/>
          </w:tcPr>
          <w:p w:rsidR="000B616B" w:rsidRPr="007266F8" w:rsidRDefault="000B616B" w:rsidP="000B616B">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19.658</w:t>
            </w:r>
          </w:p>
        </w:tc>
      </w:tr>
    </w:tbl>
    <w:p w:rsidR="000B616B" w:rsidRPr="007266F8" w:rsidRDefault="000B616B" w:rsidP="00EF4B1D">
      <w:pPr>
        <w:pStyle w:val="Caption"/>
        <w:jc w:val="center"/>
        <w:rPr>
          <w:rFonts w:cstheme="minorHAnsi"/>
          <w:sz w:val="16"/>
          <w:lang w:val="en-GB"/>
        </w:rPr>
      </w:pPr>
      <w:bookmarkStart w:id="9" w:name="_Toc102051371"/>
      <w:r w:rsidRPr="007266F8">
        <w:rPr>
          <w:rFonts w:cstheme="minorHAnsi"/>
          <w:sz w:val="16"/>
          <w:lang w:val="en-GB"/>
        </w:rPr>
        <w:t>Tabl</w:t>
      </w:r>
      <w:r w:rsidR="00EF4B1D" w:rsidRPr="007266F8">
        <w:rPr>
          <w:rFonts w:cstheme="minorHAnsi"/>
          <w:sz w:val="16"/>
          <w:lang w:val="en-GB"/>
        </w:rPr>
        <w:t xml:space="preserve">e </w:t>
      </w:r>
      <w:r w:rsidR="00D00A6F" w:rsidRPr="007266F8">
        <w:rPr>
          <w:rFonts w:cstheme="minorHAnsi"/>
          <w:sz w:val="16"/>
          <w:lang w:val="en-GB"/>
        </w:rPr>
        <w:fldChar w:fldCharType="begin"/>
      </w:r>
      <w:r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00D12D06" w:rsidRPr="007266F8">
        <w:rPr>
          <w:rFonts w:cstheme="minorHAnsi"/>
          <w:noProof/>
          <w:sz w:val="16"/>
          <w:lang w:val="en-GB"/>
        </w:rPr>
        <w:t>4</w:t>
      </w:r>
      <w:r w:rsidR="00D00A6F" w:rsidRPr="007266F8">
        <w:rPr>
          <w:rFonts w:cstheme="minorHAnsi"/>
          <w:sz w:val="16"/>
          <w:lang w:val="en-GB"/>
        </w:rPr>
        <w:fldChar w:fldCharType="end"/>
      </w:r>
      <w:r w:rsidRPr="007266F8">
        <w:rPr>
          <w:rFonts w:cstheme="minorHAnsi"/>
          <w:sz w:val="16"/>
          <w:lang w:val="en-GB"/>
        </w:rPr>
        <w:t xml:space="preserve"> </w:t>
      </w:r>
      <w:r w:rsidR="00EF4B1D" w:rsidRPr="007266F8">
        <w:rPr>
          <w:rFonts w:cstheme="minorHAnsi"/>
          <w:sz w:val="16"/>
          <w:lang w:val="en-GB"/>
        </w:rPr>
        <w:t>Market Position Limits for the Yearly Contracts</w:t>
      </w:r>
      <w:bookmarkEnd w:id="9"/>
      <w:r w:rsidR="00EF4B1D" w:rsidRPr="007266F8">
        <w:rPr>
          <w:rFonts w:cstheme="minorHAnsi"/>
          <w:sz w:val="16"/>
          <w:lang w:val="en-GB"/>
        </w:rPr>
        <w:t xml:space="preserve"> </w:t>
      </w:r>
    </w:p>
    <w:p w:rsidR="00313215" w:rsidRPr="007266F8" w:rsidRDefault="00EF4B1D" w:rsidP="00EF4B1D">
      <w:pPr>
        <w:pStyle w:val="Heading3"/>
        <w:rPr>
          <w:rFonts w:cstheme="majorHAnsi"/>
          <w:lang w:val="en-GB"/>
        </w:rPr>
      </w:pPr>
      <w:bookmarkStart w:id="10" w:name="_Toc102051398"/>
      <w:r w:rsidRPr="007266F8">
        <w:rPr>
          <w:rFonts w:cstheme="majorHAnsi"/>
          <w:lang w:val="en-GB"/>
        </w:rPr>
        <w:t>Determination of Quarterly and Monthly Consumption Rates</w:t>
      </w:r>
      <w:bookmarkEnd w:id="10"/>
      <w:r w:rsidRPr="007266F8">
        <w:rPr>
          <w:rFonts w:cstheme="majorHAnsi"/>
          <w:lang w:val="en-GB"/>
        </w:rPr>
        <w:t xml:space="preserve"> </w:t>
      </w:r>
    </w:p>
    <w:p w:rsidR="0082481D" w:rsidRPr="007266F8" w:rsidRDefault="006B6D7A" w:rsidP="00ED14BF">
      <w:pPr>
        <w:ind w:firstLine="708"/>
        <w:jc w:val="both"/>
        <w:rPr>
          <w:rFonts w:cstheme="minorHAnsi"/>
          <w:lang w:val="en-GB"/>
        </w:rPr>
      </w:pPr>
      <w:r w:rsidRPr="007266F8">
        <w:rPr>
          <w:rFonts w:cstheme="minorHAnsi"/>
          <w:lang w:val="en-GB"/>
        </w:rPr>
        <w:t xml:space="preserve">Market position limits for the contracts on delivery period basis shall be separately calculated for each month and quarter taking into account </w:t>
      </w:r>
      <w:r w:rsidR="00EF6ADE" w:rsidRPr="007266F8">
        <w:rPr>
          <w:rFonts w:cstheme="minorHAnsi"/>
          <w:lang w:val="en-GB"/>
        </w:rPr>
        <w:t>the previous year’s main draw</w:t>
      </w:r>
      <w:r w:rsidRPr="007266F8">
        <w:rPr>
          <w:rFonts w:cstheme="minorHAnsi"/>
          <w:lang w:val="en-GB"/>
        </w:rPr>
        <w:t xml:space="preserve"> quantities subject to settlement</w:t>
      </w:r>
      <w:r w:rsidR="00313215" w:rsidRPr="007266F8">
        <w:rPr>
          <w:rFonts w:cstheme="minorHAnsi"/>
          <w:lang w:val="en-GB"/>
        </w:rPr>
        <w:t xml:space="preserve">. </w:t>
      </w:r>
      <w:r w:rsidR="00313D2C" w:rsidRPr="007266F8">
        <w:rPr>
          <w:rFonts w:cstheme="minorHAnsi"/>
          <w:lang w:val="en-GB"/>
        </w:rPr>
        <w:t xml:space="preserve">Quarterly and monthly consumption rates shall be determined according to the </w:t>
      </w:r>
      <w:r w:rsidR="00EF6ADE" w:rsidRPr="007266F8">
        <w:rPr>
          <w:rFonts w:cstheme="minorHAnsi"/>
          <w:lang w:val="en-GB"/>
        </w:rPr>
        <w:t xml:space="preserve">proportion of </w:t>
      </w:r>
      <w:r w:rsidR="00313D2C" w:rsidRPr="007266F8">
        <w:rPr>
          <w:rFonts w:cstheme="minorHAnsi"/>
          <w:lang w:val="en-GB"/>
        </w:rPr>
        <w:t xml:space="preserve">draw quantities subject to settlement each month and quarter to </w:t>
      </w:r>
      <w:r w:rsidR="00EF6ADE" w:rsidRPr="007266F8">
        <w:rPr>
          <w:rFonts w:cstheme="minorHAnsi"/>
          <w:lang w:val="en-GB"/>
        </w:rPr>
        <w:t xml:space="preserve">the </w:t>
      </w:r>
      <w:r w:rsidR="00313D2C" w:rsidRPr="007266F8">
        <w:rPr>
          <w:rFonts w:cstheme="minorHAnsi"/>
          <w:lang w:val="en-GB"/>
        </w:rPr>
        <w:t xml:space="preserve">total annual draw quantity subject to settlement.  </w:t>
      </w:r>
      <w:r w:rsidR="0064208A" w:rsidRPr="007266F8">
        <w:rPr>
          <w:rFonts w:cstheme="minorHAnsi"/>
          <w:lang w:val="en-GB"/>
        </w:rPr>
        <w:t>According to the rates determined as such, market position limits for the delivery periods shall be determined in compliance with the load characteristic</w:t>
      </w:r>
      <w:r w:rsidR="00313215" w:rsidRPr="007266F8">
        <w:rPr>
          <w:rFonts w:cstheme="minorHAnsi"/>
          <w:lang w:val="en-GB"/>
        </w:rPr>
        <w:t>.</w:t>
      </w:r>
      <w:r w:rsidR="00180A34" w:rsidRPr="007266F8">
        <w:rPr>
          <w:rFonts w:cstheme="minorHAnsi"/>
          <w:lang w:val="en-GB"/>
        </w:rPr>
        <w:t xml:space="preserve"> (</w:t>
      </w:r>
      <w:r w:rsidR="00ED14BF" w:rsidRPr="007266F8">
        <w:rPr>
          <w:rFonts w:cstheme="minorHAnsi"/>
          <w:lang w:val="en-GB"/>
        </w:rPr>
        <w:t>Draw Quantity Subject to Settlement (DQSS) values for the Year 2020 have been used.)</w:t>
      </w:r>
    </w:p>
    <w:tbl>
      <w:tblPr>
        <w:tblW w:w="9009" w:type="dxa"/>
        <w:tblInd w:w="-10" w:type="dxa"/>
        <w:tblCellMar>
          <w:left w:w="70" w:type="dxa"/>
          <w:right w:w="70" w:type="dxa"/>
        </w:tblCellMar>
        <w:tblLook w:val="04A0" w:firstRow="1" w:lastRow="0" w:firstColumn="1" w:lastColumn="0" w:noHBand="0" w:noVBand="1"/>
      </w:tblPr>
      <w:tblGrid>
        <w:gridCol w:w="1075"/>
        <w:gridCol w:w="1107"/>
        <w:gridCol w:w="3371"/>
        <w:gridCol w:w="1757"/>
        <w:gridCol w:w="1699"/>
      </w:tblGrid>
      <w:tr w:rsidR="00247A2C" w:rsidRPr="007266F8" w:rsidTr="000532DB">
        <w:trPr>
          <w:trHeight w:val="213"/>
        </w:trPr>
        <w:tc>
          <w:tcPr>
            <w:tcW w:w="1075" w:type="dxa"/>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247A2C" w:rsidRPr="007266F8" w:rsidRDefault="00ED14BF" w:rsidP="00247A2C">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 xml:space="preserve">Quarter </w:t>
            </w:r>
          </w:p>
        </w:tc>
        <w:tc>
          <w:tcPr>
            <w:tcW w:w="1107" w:type="dxa"/>
            <w:tcBorders>
              <w:top w:val="single" w:sz="8" w:space="0" w:color="BDD6EE"/>
              <w:left w:val="nil"/>
              <w:bottom w:val="single" w:sz="12" w:space="0" w:color="9CC2E5"/>
              <w:right w:val="single" w:sz="8" w:space="0" w:color="BDD6EE"/>
            </w:tcBorders>
            <w:shd w:val="clear" w:color="000000" w:fill="DEEAF6"/>
            <w:noWrap/>
            <w:vAlign w:val="center"/>
            <w:hideMark/>
          </w:tcPr>
          <w:p w:rsidR="00247A2C" w:rsidRPr="007266F8" w:rsidRDefault="00247A2C" w:rsidP="00247A2C">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Ay</w:t>
            </w:r>
          </w:p>
        </w:tc>
        <w:tc>
          <w:tcPr>
            <w:tcW w:w="3371"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7266F8" w:rsidRDefault="00ED14BF" w:rsidP="00ED14BF">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Total Draw Quantity Subject to Settlement (DQSS)</w:t>
            </w:r>
            <w:r w:rsidR="00247A2C" w:rsidRPr="007266F8">
              <w:rPr>
                <w:rFonts w:ascii="Calibri" w:eastAsia="Times New Roman" w:hAnsi="Calibri" w:cs="Calibri"/>
                <w:b/>
                <w:bCs/>
                <w:i/>
                <w:iCs/>
                <w:color w:val="000000"/>
                <w:sz w:val="18"/>
                <w:szCs w:val="18"/>
                <w:lang w:val="en-GB" w:eastAsia="tr-TR"/>
              </w:rPr>
              <w:t xml:space="preserve"> (MWh)</w:t>
            </w:r>
          </w:p>
        </w:tc>
        <w:tc>
          <w:tcPr>
            <w:tcW w:w="1757"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7266F8" w:rsidRDefault="00ED14BF" w:rsidP="00247A2C">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 xml:space="preserve">Quarterly Consumption Rate </w:t>
            </w:r>
          </w:p>
        </w:tc>
        <w:tc>
          <w:tcPr>
            <w:tcW w:w="1699"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7266F8" w:rsidRDefault="00ED14BF" w:rsidP="00247A2C">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 xml:space="preserve">Monthly Consumption Rate </w:t>
            </w:r>
          </w:p>
        </w:tc>
      </w:tr>
      <w:tr w:rsidR="00247A2C" w:rsidRPr="007266F8" w:rsidTr="000532DB">
        <w:trPr>
          <w:trHeight w:val="119"/>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Quarter</w:t>
            </w:r>
            <w:r w:rsidR="00247A2C" w:rsidRPr="007266F8">
              <w:rPr>
                <w:rFonts w:ascii="Calibri" w:eastAsia="Times New Roman" w:hAnsi="Calibri" w:cs="Calibri"/>
                <w:b/>
                <w:bCs/>
                <w:color w:val="000000"/>
                <w:sz w:val="18"/>
                <w:szCs w:val="18"/>
                <w:lang w:val="en-GB" w:eastAsia="tr-TR"/>
              </w:rPr>
              <w:t xml:space="preserve"> 1</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January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24.973.949</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25,23%</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8,84%</w:t>
            </w:r>
          </w:p>
        </w:tc>
      </w:tr>
      <w:tr w:rsidR="00247A2C" w:rsidRPr="007266F8"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b/>
                <w:bCs/>
                <w:color w:val="000000"/>
                <w:sz w:val="18"/>
                <w:szCs w:val="18"/>
                <w:lang w:val="en-GB"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February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23.290.561</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color w:val="000000"/>
                <w:sz w:val="18"/>
                <w:szCs w:val="18"/>
                <w:lang w:val="en-GB"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8,25%</w:t>
            </w:r>
          </w:p>
        </w:tc>
      </w:tr>
      <w:tr w:rsidR="00247A2C" w:rsidRPr="007266F8"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b/>
                <w:bCs/>
                <w:color w:val="000000"/>
                <w:sz w:val="18"/>
                <w:szCs w:val="18"/>
                <w:lang w:val="en-GB"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March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22.984.307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color w:val="000000"/>
                <w:sz w:val="18"/>
                <w:szCs w:val="18"/>
                <w:lang w:val="en-GB"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8,14%</w:t>
            </w:r>
          </w:p>
        </w:tc>
      </w:tr>
      <w:tr w:rsidR="00247A2C" w:rsidRPr="007266F8"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Quarter</w:t>
            </w:r>
            <w:r w:rsidR="00247A2C" w:rsidRPr="007266F8">
              <w:rPr>
                <w:rFonts w:ascii="Calibri" w:eastAsia="Times New Roman" w:hAnsi="Calibri" w:cs="Calibri"/>
                <w:b/>
                <w:bCs/>
                <w:color w:val="000000"/>
                <w:sz w:val="18"/>
                <w:szCs w:val="18"/>
                <w:lang w:val="en-GB" w:eastAsia="tr-TR"/>
              </w:rPr>
              <w:t xml:space="preserve"> 2</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April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19.083.906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21,44%</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6,76%</w:t>
            </w:r>
          </w:p>
        </w:tc>
      </w:tr>
      <w:tr w:rsidR="00247A2C" w:rsidRPr="007266F8"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b/>
                <w:bCs/>
                <w:color w:val="000000"/>
                <w:sz w:val="18"/>
                <w:szCs w:val="18"/>
                <w:lang w:val="en-GB"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May</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19.426.867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color w:val="000000"/>
                <w:sz w:val="18"/>
                <w:szCs w:val="18"/>
                <w:lang w:val="en-GB"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6,88%</w:t>
            </w:r>
          </w:p>
        </w:tc>
      </w:tr>
      <w:tr w:rsidR="00247A2C" w:rsidRPr="007266F8"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b/>
                <w:bCs/>
                <w:color w:val="000000"/>
                <w:sz w:val="18"/>
                <w:szCs w:val="18"/>
                <w:lang w:val="en-GB"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ED14BF">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June</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22.034.978</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color w:val="000000"/>
                <w:sz w:val="18"/>
                <w:szCs w:val="18"/>
                <w:lang w:val="en-GB"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7,80%</w:t>
            </w:r>
          </w:p>
        </w:tc>
      </w:tr>
      <w:tr w:rsidR="00247A2C" w:rsidRPr="007266F8"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Quarter</w:t>
            </w:r>
            <w:r w:rsidR="00247A2C" w:rsidRPr="007266F8">
              <w:rPr>
                <w:rFonts w:ascii="Calibri" w:eastAsia="Times New Roman" w:hAnsi="Calibri" w:cs="Calibri"/>
                <w:b/>
                <w:bCs/>
                <w:color w:val="000000"/>
                <w:sz w:val="18"/>
                <w:szCs w:val="18"/>
                <w:lang w:val="en-GB" w:eastAsia="tr-TR"/>
              </w:rPr>
              <w:t xml:space="preserve"> 3</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July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26.421.966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27,91%</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9,35%</w:t>
            </w:r>
          </w:p>
        </w:tc>
      </w:tr>
      <w:tr w:rsidR="00247A2C" w:rsidRPr="007266F8"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b/>
                <w:bCs/>
                <w:color w:val="000000"/>
                <w:sz w:val="18"/>
                <w:szCs w:val="18"/>
                <w:lang w:val="en-GB"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August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26.837.363</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color w:val="000000"/>
                <w:sz w:val="18"/>
                <w:szCs w:val="18"/>
                <w:lang w:val="en-GB"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9,50%</w:t>
            </w:r>
          </w:p>
        </w:tc>
      </w:tr>
      <w:tr w:rsidR="00247A2C" w:rsidRPr="007266F8"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b/>
                <w:bCs/>
                <w:color w:val="000000"/>
                <w:sz w:val="18"/>
                <w:szCs w:val="18"/>
                <w:lang w:val="en-GB"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September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25.571.309</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color w:val="000000"/>
                <w:sz w:val="18"/>
                <w:szCs w:val="18"/>
                <w:lang w:val="en-GB"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9,05%</w:t>
            </w:r>
          </w:p>
        </w:tc>
      </w:tr>
      <w:tr w:rsidR="00247A2C" w:rsidRPr="007266F8"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Quarter</w:t>
            </w:r>
            <w:r w:rsidR="00247A2C" w:rsidRPr="007266F8">
              <w:rPr>
                <w:rFonts w:ascii="Calibri" w:eastAsia="Times New Roman" w:hAnsi="Calibri" w:cs="Calibri"/>
                <w:b/>
                <w:bCs/>
                <w:color w:val="000000"/>
                <w:sz w:val="18"/>
                <w:szCs w:val="18"/>
                <w:lang w:val="en-GB" w:eastAsia="tr-TR"/>
              </w:rPr>
              <w:t xml:space="preserve"> 4</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October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23.231.466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25,43%</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8,23%</w:t>
            </w:r>
          </w:p>
        </w:tc>
      </w:tr>
      <w:tr w:rsidR="00247A2C" w:rsidRPr="007266F8"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b/>
                <w:bCs/>
                <w:color w:val="000000"/>
                <w:sz w:val="18"/>
                <w:szCs w:val="18"/>
                <w:lang w:val="en-GB"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November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23.489.637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color w:val="000000"/>
                <w:sz w:val="18"/>
                <w:szCs w:val="18"/>
                <w:lang w:val="en-GB"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8,32%</w:t>
            </w:r>
          </w:p>
        </w:tc>
      </w:tr>
      <w:tr w:rsidR="00247A2C" w:rsidRPr="007266F8"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b/>
                <w:bCs/>
                <w:color w:val="000000"/>
                <w:sz w:val="18"/>
                <w:szCs w:val="18"/>
                <w:lang w:val="en-GB"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7266F8" w:rsidRDefault="00ED14BF" w:rsidP="00247A2C">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December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25.101.805</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7266F8" w:rsidRDefault="00247A2C" w:rsidP="00247A2C">
            <w:pPr>
              <w:spacing w:after="0" w:line="240" w:lineRule="auto"/>
              <w:rPr>
                <w:rFonts w:ascii="Calibri" w:eastAsia="Times New Roman" w:hAnsi="Calibri" w:cs="Calibri"/>
                <w:color w:val="000000"/>
                <w:sz w:val="18"/>
                <w:szCs w:val="18"/>
                <w:lang w:val="en-GB"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8,89%</w:t>
            </w:r>
          </w:p>
        </w:tc>
      </w:tr>
      <w:tr w:rsidR="00247A2C" w:rsidRPr="007266F8" w:rsidTr="000532DB">
        <w:trPr>
          <w:trHeight w:val="114"/>
        </w:trPr>
        <w:tc>
          <w:tcPr>
            <w:tcW w:w="2182"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rsidR="00247A2C" w:rsidRPr="007266F8" w:rsidRDefault="00ED14BF" w:rsidP="00ED14BF">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Grand Total </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282.448.114</w:t>
            </w:r>
          </w:p>
        </w:tc>
        <w:tc>
          <w:tcPr>
            <w:tcW w:w="1757"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100,00%</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7266F8" w:rsidRDefault="00247A2C" w:rsidP="00247A2C">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100,00%</w:t>
            </w:r>
          </w:p>
        </w:tc>
      </w:tr>
    </w:tbl>
    <w:p w:rsidR="00313215" w:rsidRPr="007266F8" w:rsidRDefault="00313215" w:rsidP="00ED14BF">
      <w:pPr>
        <w:pStyle w:val="Caption"/>
        <w:jc w:val="center"/>
        <w:rPr>
          <w:rFonts w:cstheme="minorHAnsi"/>
          <w:sz w:val="16"/>
          <w:lang w:val="en-GB"/>
        </w:rPr>
      </w:pPr>
      <w:bookmarkStart w:id="11" w:name="_Toc102051372"/>
      <w:r w:rsidRPr="007266F8">
        <w:rPr>
          <w:rFonts w:cstheme="minorHAnsi"/>
          <w:sz w:val="16"/>
          <w:lang w:val="en-GB"/>
        </w:rPr>
        <w:t>Tabl</w:t>
      </w:r>
      <w:r w:rsidR="00ED14BF" w:rsidRPr="007266F8">
        <w:rPr>
          <w:rFonts w:cstheme="minorHAnsi"/>
          <w:sz w:val="16"/>
          <w:lang w:val="en-GB"/>
        </w:rPr>
        <w:t xml:space="preserve">e </w:t>
      </w:r>
      <w:r w:rsidR="00D00A6F" w:rsidRPr="007266F8">
        <w:rPr>
          <w:rFonts w:cstheme="minorHAnsi"/>
          <w:sz w:val="16"/>
          <w:lang w:val="en-GB"/>
        </w:rPr>
        <w:fldChar w:fldCharType="begin"/>
      </w:r>
      <w:r w:rsidR="00B56224"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00D12D06" w:rsidRPr="007266F8">
        <w:rPr>
          <w:rFonts w:cstheme="minorHAnsi"/>
          <w:noProof/>
          <w:sz w:val="16"/>
          <w:lang w:val="en-GB"/>
        </w:rPr>
        <w:t>5</w:t>
      </w:r>
      <w:r w:rsidR="00D00A6F" w:rsidRPr="007266F8">
        <w:rPr>
          <w:rFonts w:cstheme="minorHAnsi"/>
          <w:sz w:val="16"/>
          <w:lang w:val="en-GB"/>
        </w:rPr>
        <w:fldChar w:fldCharType="end"/>
      </w:r>
      <w:r w:rsidRPr="007266F8">
        <w:rPr>
          <w:rFonts w:cstheme="minorHAnsi"/>
          <w:sz w:val="16"/>
          <w:lang w:val="en-GB"/>
        </w:rPr>
        <w:t xml:space="preserve"> </w:t>
      </w:r>
      <w:r w:rsidR="00ED14BF" w:rsidRPr="007266F8">
        <w:rPr>
          <w:rFonts w:cstheme="minorHAnsi"/>
          <w:sz w:val="16"/>
          <w:lang w:val="en-GB"/>
        </w:rPr>
        <w:t>Quarterly and Monthly Consumption Characteristic Rates</w:t>
      </w:r>
      <w:bookmarkEnd w:id="11"/>
      <w:r w:rsidR="00ED14BF" w:rsidRPr="007266F8">
        <w:rPr>
          <w:rFonts w:cstheme="minorHAnsi"/>
          <w:sz w:val="16"/>
          <w:lang w:val="en-GB"/>
        </w:rPr>
        <w:t xml:space="preserve"> </w:t>
      </w:r>
    </w:p>
    <w:p w:rsidR="00A6554C" w:rsidRPr="007266F8" w:rsidRDefault="00A6554C" w:rsidP="00F31B3F">
      <w:pPr>
        <w:rPr>
          <w:lang w:val="en-GB"/>
        </w:rPr>
      </w:pPr>
    </w:p>
    <w:p w:rsidR="00313215" w:rsidRPr="007266F8" w:rsidRDefault="00B4737D" w:rsidP="00B4737D">
      <w:pPr>
        <w:pStyle w:val="Heading3"/>
        <w:rPr>
          <w:rFonts w:cstheme="majorHAnsi"/>
          <w:lang w:val="en-GB"/>
        </w:rPr>
      </w:pPr>
      <w:bookmarkStart w:id="12" w:name="_Toc102051399"/>
      <w:r w:rsidRPr="007266F8">
        <w:rPr>
          <w:rFonts w:cstheme="majorHAnsi"/>
          <w:lang w:val="en-GB"/>
        </w:rPr>
        <w:t>Calculation of Market Position Limits for the Quarterly Contracts</w:t>
      </w:r>
      <w:bookmarkEnd w:id="12"/>
      <w:r w:rsidRPr="007266F8">
        <w:rPr>
          <w:rFonts w:cstheme="majorHAnsi"/>
          <w:lang w:val="en-GB"/>
        </w:rPr>
        <w:t xml:space="preserve"> </w:t>
      </w:r>
    </w:p>
    <w:p w:rsidR="005F50B4" w:rsidRPr="007266F8" w:rsidRDefault="00496EDE" w:rsidP="00A70C17">
      <w:pPr>
        <w:ind w:firstLine="708"/>
        <w:jc w:val="both"/>
        <w:rPr>
          <w:rFonts w:cstheme="minorHAnsi"/>
          <w:lang w:val="en-GB"/>
        </w:rPr>
      </w:pPr>
      <w:r w:rsidRPr="007266F8">
        <w:rPr>
          <w:rFonts w:cstheme="minorHAnsi"/>
          <w:lang w:val="en-GB"/>
        </w:rPr>
        <w:t>For each quarter, final market position limit shall be calculated by multiplying the calculated quarterly consumption rates by the total market position limits.</w:t>
      </w:r>
      <w:r w:rsidR="00A70C17" w:rsidRPr="007266F8">
        <w:rPr>
          <w:rFonts w:cstheme="minorHAnsi"/>
          <w:lang w:val="en-GB"/>
        </w:rPr>
        <w:t xml:space="preserve"> To determine the limits of quarterly contracts, the limit quantity that will come to the relevant quarterly contract from the </w:t>
      </w:r>
      <w:r w:rsidR="00686B5A">
        <w:rPr>
          <w:rFonts w:cstheme="minorHAnsi"/>
          <w:lang w:val="en-GB"/>
        </w:rPr>
        <w:t>yearly</w:t>
      </w:r>
      <w:r w:rsidR="00A70C17" w:rsidRPr="007266F8">
        <w:rPr>
          <w:rFonts w:cstheme="minorHAnsi"/>
          <w:lang w:val="en-GB"/>
        </w:rPr>
        <w:t xml:space="preserve"> contract as a result of cascading shall be subtracted from such calculated value</w:t>
      </w:r>
      <w:r w:rsidR="00BB690D" w:rsidRPr="007266F8">
        <w:rPr>
          <w:rFonts w:cstheme="minorHAnsi"/>
          <w:lang w:val="en-GB"/>
        </w:rPr>
        <w:t>.</w:t>
      </w:r>
    </w:p>
    <w:tbl>
      <w:tblPr>
        <w:tblW w:w="9013" w:type="dxa"/>
        <w:tblInd w:w="-10" w:type="dxa"/>
        <w:tblCellMar>
          <w:left w:w="70" w:type="dxa"/>
          <w:right w:w="70" w:type="dxa"/>
        </w:tblCellMar>
        <w:tblLook w:val="04A0" w:firstRow="1" w:lastRow="0" w:firstColumn="1" w:lastColumn="0" w:noHBand="0" w:noVBand="1"/>
      </w:tblPr>
      <w:tblGrid>
        <w:gridCol w:w="2203"/>
        <w:gridCol w:w="1702"/>
        <w:gridCol w:w="1702"/>
        <w:gridCol w:w="1702"/>
        <w:gridCol w:w="1704"/>
      </w:tblGrid>
      <w:tr w:rsidR="0081009E" w:rsidRPr="007266F8" w:rsidTr="000532DB">
        <w:trPr>
          <w:trHeight w:val="317"/>
        </w:trPr>
        <w:tc>
          <w:tcPr>
            <w:tcW w:w="9013" w:type="dxa"/>
            <w:gridSpan w:val="5"/>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1009E" w:rsidRPr="007266F8" w:rsidRDefault="00686B5A" w:rsidP="00686B5A">
            <w:pPr>
              <w:spacing w:after="0" w:line="240" w:lineRule="auto"/>
              <w:jc w:val="center"/>
              <w:rPr>
                <w:rFonts w:ascii="Calibri" w:eastAsia="Times New Roman" w:hAnsi="Calibri" w:cs="Calibri"/>
                <w:b/>
                <w:bCs/>
                <w:i/>
                <w:iCs/>
                <w:color w:val="000000"/>
                <w:sz w:val="20"/>
                <w:szCs w:val="20"/>
                <w:lang w:val="en-GB" w:eastAsia="tr-TR"/>
              </w:rPr>
            </w:pPr>
            <w:r>
              <w:rPr>
                <w:rFonts w:ascii="Calibri" w:eastAsia="Times New Roman" w:hAnsi="Calibri" w:cs="Calibri"/>
                <w:b/>
                <w:bCs/>
                <w:i/>
                <w:iCs/>
                <w:color w:val="000000"/>
                <w:sz w:val="20"/>
                <w:szCs w:val="20"/>
                <w:lang w:val="en-GB" w:eastAsia="tr-TR"/>
              </w:rPr>
              <w:t>Allocation</w:t>
            </w:r>
            <w:r w:rsidR="00A70C17" w:rsidRPr="007266F8">
              <w:rPr>
                <w:rFonts w:ascii="Calibri" w:eastAsia="Times New Roman" w:hAnsi="Calibri" w:cs="Calibri"/>
                <w:b/>
                <w:bCs/>
                <w:i/>
                <w:iCs/>
                <w:color w:val="000000"/>
                <w:sz w:val="20"/>
                <w:szCs w:val="20"/>
                <w:lang w:val="en-GB" w:eastAsia="tr-TR"/>
              </w:rPr>
              <w:t xml:space="preserve"> of </w:t>
            </w:r>
            <w:r w:rsidR="00F17135" w:rsidRPr="007266F8">
              <w:rPr>
                <w:rFonts w:ascii="Calibri" w:eastAsia="Times New Roman" w:hAnsi="Calibri" w:cs="Calibri"/>
                <w:b/>
                <w:bCs/>
                <w:i/>
                <w:iCs/>
                <w:color w:val="000000"/>
                <w:sz w:val="20"/>
                <w:szCs w:val="20"/>
                <w:lang w:val="en-GB" w:eastAsia="tr-TR"/>
              </w:rPr>
              <w:t>Quarterly Contracts Market Position Limits amon</w:t>
            </w:r>
            <w:r w:rsidR="00970BBB" w:rsidRPr="007266F8">
              <w:rPr>
                <w:rFonts w:ascii="Calibri" w:eastAsia="Times New Roman" w:hAnsi="Calibri" w:cs="Calibri"/>
                <w:b/>
                <w:bCs/>
                <w:i/>
                <w:iCs/>
                <w:color w:val="000000"/>
                <w:sz w:val="20"/>
                <w:szCs w:val="20"/>
                <w:lang w:val="en-GB" w:eastAsia="tr-TR"/>
              </w:rPr>
              <w:t>g</w:t>
            </w:r>
            <w:r w:rsidR="00F17135" w:rsidRPr="007266F8">
              <w:rPr>
                <w:rFonts w:ascii="Calibri" w:eastAsia="Times New Roman" w:hAnsi="Calibri" w:cs="Calibri"/>
                <w:b/>
                <w:bCs/>
                <w:i/>
                <w:iCs/>
                <w:color w:val="000000"/>
                <w:sz w:val="20"/>
                <w:szCs w:val="20"/>
                <w:lang w:val="en-GB" w:eastAsia="tr-TR"/>
              </w:rPr>
              <w:t xml:space="preserve"> Quarterly Delivery Period</w:t>
            </w:r>
            <w:r w:rsidR="00970BBB" w:rsidRPr="007266F8">
              <w:rPr>
                <w:rFonts w:ascii="Calibri" w:eastAsia="Times New Roman" w:hAnsi="Calibri" w:cs="Calibri"/>
                <w:b/>
                <w:bCs/>
                <w:i/>
                <w:iCs/>
                <w:color w:val="000000"/>
                <w:sz w:val="20"/>
                <w:szCs w:val="20"/>
                <w:lang w:val="en-GB" w:eastAsia="tr-TR"/>
              </w:rPr>
              <w:t>s</w:t>
            </w:r>
            <w:r w:rsidR="00F17135" w:rsidRPr="007266F8">
              <w:rPr>
                <w:rFonts w:ascii="Calibri" w:eastAsia="Times New Roman" w:hAnsi="Calibri" w:cs="Calibri"/>
                <w:b/>
                <w:bCs/>
                <w:i/>
                <w:iCs/>
                <w:color w:val="000000"/>
                <w:sz w:val="20"/>
                <w:szCs w:val="20"/>
                <w:lang w:val="en-GB" w:eastAsia="tr-TR"/>
              </w:rPr>
              <w:t xml:space="preserve"> according to Quarterly Consumption Rates </w:t>
            </w:r>
          </w:p>
        </w:tc>
      </w:tr>
      <w:tr w:rsidR="0081009E" w:rsidRPr="007266F8" w:rsidTr="007A0EC9">
        <w:trPr>
          <w:trHeight w:val="350"/>
        </w:trPr>
        <w:tc>
          <w:tcPr>
            <w:tcW w:w="2203"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7266F8" w:rsidRDefault="0081009E" w:rsidP="0081009E">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2021</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7266F8" w:rsidRDefault="0081009E" w:rsidP="00F104C3">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1</w:t>
            </w:r>
            <w:r w:rsidR="00F104C3" w:rsidRPr="007266F8">
              <w:rPr>
                <w:rFonts w:ascii="Calibri" w:eastAsia="Times New Roman" w:hAnsi="Calibri" w:cs="Calibri"/>
                <w:b/>
                <w:bCs/>
                <w:i/>
                <w:iCs/>
                <w:color w:val="000000"/>
                <w:sz w:val="18"/>
                <w:szCs w:val="18"/>
                <w:vertAlign w:val="superscript"/>
                <w:lang w:val="en-GB" w:eastAsia="tr-TR"/>
              </w:rPr>
              <w:t>st</w:t>
            </w:r>
            <w:r w:rsidR="00F104C3" w:rsidRPr="007266F8">
              <w:rPr>
                <w:rFonts w:ascii="Calibri" w:eastAsia="Times New Roman" w:hAnsi="Calibri" w:cs="Calibri"/>
                <w:b/>
                <w:bCs/>
                <w:i/>
                <w:iCs/>
                <w:color w:val="000000"/>
                <w:sz w:val="18"/>
                <w:szCs w:val="18"/>
                <w:lang w:val="en-GB" w:eastAsia="tr-TR"/>
              </w:rPr>
              <w:t xml:space="preserve"> Quarter Market Position Limit </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7266F8" w:rsidRDefault="00F104C3" w:rsidP="0081009E">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2</w:t>
            </w:r>
            <w:r w:rsidRPr="007266F8">
              <w:rPr>
                <w:rFonts w:ascii="Calibri" w:eastAsia="Times New Roman" w:hAnsi="Calibri" w:cs="Calibri"/>
                <w:b/>
                <w:bCs/>
                <w:i/>
                <w:iCs/>
                <w:color w:val="000000"/>
                <w:sz w:val="18"/>
                <w:szCs w:val="18"/>
                <w:vertAlign w:val="superscript"/>
                <w:lang w:val="en-GB" w:eastAsia="tr-TR"/>
              </w:rPr>
              <w:t>nd</w:t>
            </w:r>
            <w:r w:rsidRPr="007266F8">
              <w:rPr>
                <w:rFonts w:ascii="Calibri" w:eastAsia="Times New Roman" w:hAnsi="Calibri" w:cs="Calibri"/>
                <w:b/>
                <w:bCs/>
                <w:i/>
                <w:iCs/>
                <w:color w:val="000000"/>
                <w:sz w:val="18"/>
                <w:szCs w:val="18"/>
                <w:lang w:val="en-GB" w:eastAsia="tr-TR"/>
              </w:rPr>
              <w:t xml:space="preserve"> Quarter Market Position Limit</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7266F8" w:rsidRDefault="00F104C3" w:rsidP="00F104C3">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3</w:t>
            </w:r>
            <w:r w:rsidRPr="007266F8">
              <w:rPr>
                <w:rFonts w:ascii="Calibri" w:eastAsia="Times New Roman" w:hAnsi="Calibri" w:cs="Calibri"/>
                <w:b/>
                <w:bCs/>
                <w:i/>
                <w:iCs/>
                <w:color w:val="000000"/>
                <w:sz w:val="18"/>
                <w:szCs w:val="18"/>
                <w:vertAlign w:val="superscript"/>
                <w:lang w:val="en-GB" w:eastAsia="tr-TR"/>
              </w:rPr>
              <w:t>rd</w:t>
            </w:r>
            <w:r w:rsidRPr="007266F8">
              <w:rPr>
                <w:rFonts w:ascii="Calibri" w:eastAsia="Times New Roman" w:hAnsi="Calibri" w:cs="Calibri"/>
                <w:b/>
                <w:bCs/>
                <w:i/>
                <w:iCs/>
                <w:color w:val="000000"/>
                <w:sz w:val="18"/>
                <w:szCs w:val="18"/>
                <w:lang w:val="en-GB" w:eastAsia="tr-TR"/>
              </w:rPr>
              <w:t xml:space="preserve"> Quarter Market Position Limit</w:t>
            </w:r>
          </w:p>
        </w:tc>
        <w:tc>
          <w:tcPr>
            <w:tcW w:w="1704"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7266F8" w:rsidRDefault="00F104C3" w:rsidP="0081009E">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4</w:t>
            </w:r>
            <w:r w:rsidRPr="007266F8">
              <w:rPr>
                <w:rFonts w:ascii="Calibri" w:eastAsia="Times New Roman" w:hAnsi="Calibri" w:cs="Calibri"/>
                <w:b/>
                <w:bCs/>
                <w:i/>
                <w:iCs/>
                <w:color w:val="000000"/>
                <w:sz w:val="18"/>
                <w:szCs w:val="18"/>
                <w:vertAlign w:val="superscript"/>
                <w:lang w:val="en-GB" w:eastAsia="tr-TR"/>
              </w:rPr>
              <w:t>th</w:t>
            </w:r>
            <w:r w:rsidRPr="007266F8">
              <w:rPr>
                <w:rFonts w:ascii="Calibri" w:eastAsia="Times New Roman" w:hAnsi="Calibri" w:cs="Calibri"/>
                <w:b/>
                <w:bCs/>
                <w:i/>
                <w:iCs/>
                <w:color w:val="000000"/>
                <w:sz w:val="18"/>
                <w:szCs w:val="18"/>
                <w:lang w:val="en-GB" w:eastAsia="tr-TR"/>
              </w:rPr>
              <w:t xml:space="preserve"> Quarter Market Position Limit</w:t>
            </w:r>
          </w:p>
        </w:tc>
      </w:tr>
      <w:tr w:rsidR="0081009E" w:rsidRPr="007266F8" w:rsidTr="007A0EC9">
        <w:trPr>
          <w:trHeight w:val="450"/>
        </w:trPr>
        <w:tc>
          <w:tcPr>
            <w:tcW w:w="2203" w:type="dxa"/>
            <w:vMerge/>
            <w:tcBorders>
              <w:top w:val="nil"/>
              <w:left w:val="single" w:sz="8" w:space="0" w:color="BDD6EE"/>
              <w:bottom w:val="single" w:sz="8" w:space="0" w:color="BDD6EE"/>
              <w:right w:val="single" w:sz="8" w:space="0" w:color="BDD6EE"/>
            </w:tcBorders>
            <w:vAlign w:val="center"/>
            <w:hideMark/>
          </w:tcPr>
          <w:p w:rsidR="0081009E" w:rsidRPr="007266F8" w:rsidRDefault="0081009E" w:rsidP="0081009E">
            <w:pPr>
              <w:spacing w:after="0" w:line="240" w:lineRule="auto"/>
              <w:rPr>
                <w:rFonts w:ascii="Calibri" w:eastAsia="Times New Roman" w:hAnsi="Calibri" w:cs="Calibri"/>
                <w:b/>
                <w:bCs/>
                <w:i/>
                <w:iCs/>
                <w:color w:val="000000"/>
                <w:sz w:val="18"/>
                <w:szCs w:val="18"/>
                <w:lang w:val="en-GB"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7266F8" w:rsidRDefault="0081009E" w:rsidP="0081009E">
            <w:pPr>
              <w:spacing w:after="0" w:line="240" w:lineRule="auto"/>
              <w:rPr>
                <w:rFonts w:ascii="Calibri" w:eastAsia="Times New Roman" w:hAnsi="Calibri" w:cs="Calibri"/>
                <w:b/>
                <w:bCs/>
                <w:i/>
                <w:iCs/>
                <w:color w:val="000000"/>
                <w:sz w:val="18"/>
                <w:szCs w:val="18"/>
                <w:lang w:val="en-GB"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7266F8" w:rsidRDefault="0081009E" w:rsidP="0081009E">
            <w:pPr>
              <w:spacing w:after="0" w:line="240" w:lineRule="auto"/>
              <w:rPr>
                <w:rFonts w:ascii="Calibri" w:eastAsia="Times New Roman" w:hAnsi="Calibri" w:cs="Calibri"/>
                <w:b/>
                <w:bCs/>
                <w:i/>
                <w:iCs/>
                <w:color w:val="000000"/>
                <w:sz w:val="18"/>
                <w:szCs w:val="18"/>
                <w:lang w:val="en-GB"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7266F8" w:rsidRDefault="0081009E" w:rsidP="0081009E">
            <w:pPr>
              <w:spacing w:after="0" w:line="240" w:lineRule="auto"/>
              <w:rPr>
                <w:rFonts w:ascii="Calibri" w:eastAsia="Times New Roman" w:hAnsi="Calibri" w:cs="Calibri"/>
                <w:b/>
                <w:bCs/>
                <w:i/>
                <w:iCs/>
                <w:color w:val="000000"/>
                <w:sz w:val="18"/>
                <w:szCs w:val="18"/>
                <w:lang w:val="en-GB" w:eastAsia="tr-TR"/>
              </w:rPr>
            </w:pPr>
          </w:p>
        </w:tc>
        <w:tc>
          <w:tcPr>
            <w:tcW w:w="1704" w:type="dxa"/>
            <w:vMerge/>
            <w:tcBorders>
              <w:top w:val="nil"/>
              <w:left w:val="single" w:sz="8" w:space="0" w:color="BDD6EE"/>
              <w:bottom w:val="single" w:sz="8" w:space="0" w:color="BDD6EE"/>
              <w:right w:val="single" w:sz="8" w:space="0" w:color="BDD6EE"/>
            </w:tcBorders>
            <w:vAlign w:val="center"/>
            <w:hideMark/>
          </w:tcPr>
          <w:p w:rsidR="0081009E" w:rsidRPr="007266F8" w:rsidRDefault="0081009E" w:rsidP="0081009E">
            <w:pPr>
              <w:spacing w:after="0" w:line="240" w:lineRule="auto"/>
              <w:rPr>
                <w:rFonts w:ascii="Calibri" w:eastAsia="Times New Roman" w:hAnsi="Calibri" w:cs="Calibri"/>
                <w:b/>
                <w:bCs/>
                <w:i/>
                <w:iCs/>
                <w:color w:val="000000"/>
                <w:sz w:val="18"/>
                <w:szCs w:val="18"/>
                <w:lang w:val="en-GB" w:eastAsia="tr-TR"/>
              </w:rPr>
            </w:pPr>
          </w:p>
        </w:tc>
      </w:tr>
      <w:tr w:rsidR="007A0EC9" w:rsidRPr="007266F8" w:rsidTr="007A0EC9">
        <w:trPr>
          <w:trHeight w:val="178"/>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7266F8" w:rsidRDefault="007A0EC9" w:rsidP="007A0EC9">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MWh</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13.031.470</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11.073.869</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14.418.191</w:t>
            </w:r>
          </w:p>
        </w:tc>
        <w:tc>
          <w:tcPr>
            <w:tcW w:w="1704"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13.136.470</w:t>
            </w:r>
          </w:p>
        </w:tc>
      </w:tr>
      <w:tr w:rsidR="007A0EC9" w:rsidRPr="007266F8"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7266F8" w:rsidRDefault="007A0EC9" w:rsidP="007A0EC9">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MW</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6.033</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5.070</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6.530</w:t>
            </w:r>
          </w:p>
        </w:tc>
        <w:tc>
          <w:tcPr>
            <w:tcW w:w="1704"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5.949</w:t>
            </w:r>
          </w:p>
        </w:tc>
      </w:tr>
      <w:tr w:rsidR="007A0EC9" w:rsidRPr="007266F8"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7266F8" w:rsidRDefault="007A0EC9" w:rsidP="007A0EC9">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Lot</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130.314.697</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110.738.692</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144.181.908</w:t>
            </w:r>
          </w:p>
        </w:tc>
        <w:tc>
          <w:tcPr>
            <w:tcW w:w="1704"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131.364.703</w:t>
            </w:r>
          </w:p>
        </w:tc>
      </w:tr>
      <w:tr w:rsidR="007A0EC9" w:rsidRPr="007266F8"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7266F8" w:rsidRDefault="00F17135" w:rsidP="007A0EC9">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Hourly</w:t>
            </w:r>
            <w:r w:rsidR="007A0EC9" w:rsidRPr="007266F8">
              <w:rPr>
                <w:rFonts w:ascii="Calibri" w:eastAsia="Times New Roman" w:hAnsi="Calibri" w:cs="Calibri"/>
                <w:b/>
                <w:bCs/>
                <w:color w:val="000000"/>
                <w:sz w:val="18"/>
                <w:szCs w:val="18"/>
                <w:lang w:val="en-GB" w:eastAsia="tr-TR"/>
              </w:rPr>
              <w:t xml:space="preserve"> Lot</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60.331</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50.705</w:t>
            </w:r>
          </w:p>
        </w:tc>
        <w:tc>
          <w:tcPr>
            <w:tcW w:w="170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65.300</w:t>
            </w:r>
          </w:p>
        </w:tc>
        <w:tc>
          <w:tcPr>
            <w:tcW w:w="1704"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59.495</w:t>
            </w:r>
          </w:p>
        </w:tc>
      </w:tr>
    </w:tbl>
    <w:p w:rsidR="005562FC" w:rsidRPr="007266F8" w:rsidRDefault="00313215" w:rsidP="00F17135">
      <w:pPr>
        <w:pStyle w:val="Caption"/>
        <w:jc w:val="center"/>
        <w:rPr>
          <w:rFonts w:cstheme="minorHAnsi"/>
          <w:sz w:val="16"/>
          <w:lang w:val="en-GB"/>
        </w:rPr>
      </w:pPr>
      <w:bookmarkStart w:id="13" w:name="_Toc102051373"/>
      <w:r w:rsidRPr="007266F8">
        <w:rPr>
          <w:rFonts w:cstheme="minorHAnsi"/>
          <w:sz w:val="16"/>
          <w:lang w:val="en-GB"/>
        </w:rPr>
        <w:t>Tabl</w:t>
      </w:r>
      <w:r w:rsidR="00F17135" w:rsidRPr="007266F8">
        <w:rPr>
          <w:rFonts w:cstheme="minorHAnsi"/>
          <w:sz w:val="16"/>
          <w:lang w:val="en-GB"/>
        </w:rPr>
        <w:t>e</w:t>
      </w:r>
      <w:r w:rsidRPr="007266F8">
        <w:rPr>
          <w:rFonts w:cstheme="minorHAnsi"/>
          <w:sz w:val="16"/>
          <w:lang w:val="en-GB"/>
        </w:rPr>
        <w:t xml:space="preserve"> </w:t>
      </w:r>
      <w:r w:rsidR="00D00A6F" w:rsidRPr="007266F8">
        <w:rPr>
          <w:rFonts w:cstheme="minorHAnsi"/>
          <w:sz w:val="16"/>
          <w:lang w:val="en-GB"/>
        </w:rPr>
        <w:fldChar w:fldCharType="begin"/>
      </w:r>
      <w:r w:rsidR="00B56224"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00D12D06" w:rsidRPr="007266F8">
        <w:rPr>
          <w:rFonts w:cstheme="minorHAnsi"/>
          <w:noProof/>
          <w:sz w:val="16"/>
          <w:lang w:val="en-GB"/>
        </w:rPr>
        <w:t>6</w:t>
      </w:r>
      <w:r w:rsidR="00D00A6F" w:rsidRPr="007266F8">
        <w:rPr>
          <w:rFonts w:cstheme="minorHAnsi"/>
          <w:sz w:val="16"/>
          <w:lang w:val="en-GB"/>
        </w:rPr>
        <w:fldChar w:fldCharType="end"/>
      </w:r>
      <w:r w:rsidRPr="007266F8">
        <w:rPr>
          <w:rFonts w:cstheme="minorHAnsi"/>
          <w:sz w:val="16"/>
          <w:lang w:val="en-GB"/>
        </w:rPr>
        <w:t xml:space="preserve"> </w:t>
      </w:r>
      <w:r w:rsidR="00F17135" w:rsidRPr="007266F8">
        <w:rPr>
          <w:rFonts w:cstheme="minorHAnsi"/>
          <w:sz w:val="16"/>
          <w:lang w:val="en-GB"/>
        </w:rPr>
        <w:t>Market Position Limits for</w:t>
      </w:r>
      <w:r w:rsidR="00F104C3" w:rsidRPr="007266F8">
        <w:rPr>
          <w:rFonts w:cstheme="minorHAnsi"/>
          <w:sz w:val="16"/>
          <w:lang w:val="en-GB"/>
        </w:rPr>
        <w:t xml:space="preserve"> </w:t>
      </w:r>
      <w:r w:rsidR="00FC475A" w:rsidRPr="007266F8">
        <w:rPr>
          <w:rFonts w:cstheme="minorHAnsi"/>
          <w:sz w:val="16"/>
          <w:lang w:val="en-GB"/>
        </w:rPr>
        <w:t>t</w:t>
      </w:r>
      <w:r w:rsidR="00F17135" w:rsidRPr="007266F8">
        <w:rPr>
          <w:rFonts w:cstheme="minorHAnsi"/>
          <w:sz w:val="16"/>
          <w:lang w:val="en-GB"/>
        </w:rPr>
        <w:t>he Quarterly Contracts</w:t>
      </w:r>
      <w:bookmarkEnd w:id="13"/>
      <w:r w:rsidR="00F17135" w:rsidRPr="007266F8">
        <w:rPr>
          <w:rFonts w:cstheme="minorHAnsi"/>
          <w:sz w:val="16"/>
          <w:lang w:val="en-GB"/>
        </w:rPr>
        <w:t xml:space="preserve"> </w:t>
      </w:r>
    </w:p>
    <w:p w:rsidR="000B616B" w:rsidRPr="007266F8" w:rsidRDefault="000B616B" w:rsidP="000B616B">
      <w:pPr>
        <w:rPr>
          <w:lang w:val="en-GB"/>
        </w:rPr>
      </w:pPr>
    </w:p>
    <w:p w:rsidR="00313215" w:rsidRPr="007266F8" w:rsidRDefault="00B6006F" w:rsidP="00B6006F">
      <w:pPr>
        <w:pStyle w:val="Heading3"/>
        <w:rPr>
          <w:rFonts w:cstheme="majorHAnsi"/>
          <w:lang w:val="en-GB"/>
        </w:rPr>
      </w:pPr>
      <w:bookmarkStart w:id="14" w:name="_Toc102051400"/>
      <w:r w:rsidRPr="007266F8">
        <w:rPr>
          <w:rFonts w:cstheme="majorHAnsi"/>
          <w:lang w:val="en-GB"/>
        </w:rPr>
        <w:t>Calculation of Market Position Limits for the Monthly Contracts</w:t>
      </w:r>
      <w:bookmarkEnd w:id="14"/>
      <w:r w:rsidRPr="007266F8">
        <w:rPr>
          <w:rFonts w:cstheme="majorHAnsi"/>
          <w:lang w:val="en-GB"/>
        </w:rPr>
        <w:t xml:space="preserve"> </w:t>
      </w:r>
    </w:p>
    <w:p w:rsidR="007A0EC9" w:rsidRPr="007266F8" w:rsidRDefault="00855E9D" w:rsidP="00855E9D">
      <w:pPr>
        <w:ind w:firstLine="708"/>
        <w:jc w:val="both"/>
        <w:rPr>
          <w:rFonts w:cstheme="minorHAnsi"/>
          <w:lang w:val="en-GB"/>
        </w:rPr>
      </w:pPr>
      <w:r w:rsidRPr="007266F8">
        <w:rPr>
          <w:rFonts w:cstheme="minorHAnsi"/>
          <w:lang w:val="en-GB"/>
        </w:rPr>
        <w:t>For each month, final market position limit shall be calculated by multiplying the calculated monthly consumption rates by the total market position limits. To determine the limits of monthly contracts, the limit quantity that will come to the relevant monthly contract from the annual and quarterly contracts as a result of cascading shall be subtracted from such calculated value</w:t>
      </w:r>
      <w:r w:rsidR="00A47D09" w:rsidRPr="007266F8">
        <w:rPr>
          <w:rFonts w:cstheme="minorHAnsi"/>
          <w:lang w:val="en-GB"/>
        </w:rPr>
        <w:t xml:space="preserve">. </w:t>
      </w:r>
    </w:p>
    <w:tbl>
      <w:tblPr>
        <w:tblW w:w="9004" w:type="dxa"/>
        <w:tblInd w:w="-10" w:type="dxa"/>
        <w:tblCellMar>
          <w:left w:w="70" w:type="dxa"/>
          <w:right w:w="70" w:type="dxa"/>
        </w:tblCellMar>
        <w:tblLook w:val="04A0" w:firstRow="1" w:lastRow="0" w:firstColumn="1" w:lastColumn="0" w:noHBand="0" w:noVBand="1"/>
      </w:tblPr>
      <w:tblGrid>
        <w:gridCol w:w="3199"/>
        <w:gridCol w:w="1212"/>
        <w:gridCol w:w="1259"/>
        <w:gridCol w:w="1512"/>
        <w:gridCol w:w="1822"/>
      </w:tblGrid>
      <w:tr w:rsidR="00BE39B1" w:rsidRPr="007266F8" w:rsidTr="000532DB">
        <w:trPr>
          <w:trHeight w:val="244"/>
        </w:trPr>
        <w:tc>
          <w:tcPr>
            <w:tcW w:w="9004" w:type="dxa"/>
            <w:gridSpan w:val="5"/>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BE39B1" w:rsidRPr="007266F8" w:rsidRDefault="00686B5A" w:rsidP="00686B5A">
            <w:pPr>
              <w:spacing w:after="0" w:line="240" w:lineRule="auto"/>
              <w:jc w:val="center"/>
              <w:rPr>
                <w:rFonts w:ascii="Calibri" w:eastAsia="Times New Roman" w:hAnsi="Calibri" w:cs="Calibri"/>
                <w:b/>
                <w:bCs/>
                <w:i/>
                <w:iCs/>
                <w:color w:val="000000"/>
                <w:sz w:val="20"/>
                <w:szCs w:val="20"/>
                <w:lang w:val="en-GB" w:eastAsia="tr-TR"/>
              </w:rPr>
            </w:pPr>
            <w:r>
              <w:rPr>
                <w:rFonts w:ascii="Calibri" w:eastAsia="Times New Roman" w:hAnsi="Calibri" w:cs="Calibri"/>
                <w:b/>
                <w:bCs/>
                <w:i/>
                <w:iCs/>
                <w:color w:val="000000"/>
                <w:sz w:val="20"/>
                <w:szCs w:val="20"/>
                <w:lang w:val="en-GB" w:eastAsia="tr-TR"/>
              </w:rPr>
              <w:t>Allocation</w:t>
            </w:r>
            <w:r w:rsidR="00A10C32" w:rsidRPr="007266F8">
              <w:rPr>
                <w:rFonts w:ascii="Calibri" w:eastAsia="Times New Roman" w:hAnsi="Calibri" w:cs="Calibri"/>
                <w:b/>
                <w:bCs/>
                <w:i/>
                <w:iCs/>
                <w:color w:val="000000"/>
                <w:sz w:val="20"/>
                <w:szCs w:val="20"/>
                <w:lang w:val="en-GB" w:eastAsia="tr-TR"/>
              </w:rPr>
              <w:t xml:space="preserve"> of Monthly Contracts Market Position Limits among Monthly Delivery Periods according to Monthly Consumption Rates </w:t>
            </w:r>
          </w:p>
        </w:tc>
      </w:tr>
      <w:tr w:rsidR="00BE39B1" w:rsidRPr="007266F8" w:rsidTr="000532DB">
        <w:trPr>
          <w:trHeight w:val="450"/>
        </w:trPr>
        <w:tc>
          <w:tcPr>
            <w:tcW w:w="9004" w:type="dxa"/>
            <w:gridSpan w:val="5"/>
            <w:vMerge/>
            <w:tcBorders>
              <w:top w:val="single" w:sz="8" w:space="0" w:color="BDD6EE"/>
              <w:left w:val="single" w:sz="8" w:space="0" w:color="BDD6EE"/>
              <w:bottom w:val="single" w:sz="12" w:space="0" w:color="9CC2E5"/>
              <w:right w:val="single" w:sz="8" w:space="0" w:color="BDD6EE"/>
            </w:tcBorders>
            <w:vAlign w:val="center"/>
            <w:hideMark/>
          </w:tcPr>
          <w:p w:rsidR="00BE39B1" w:rsidRPr="007266F8" w:rsidRDefault="00BE39B1" w:rsidP="00BE39B1">
            <w:pPr>
              <w:spacing w:after="0" w:line="240" w:lineRule="auto"/>
              <w:rPr>
                <w:rFonts w:ascii="Calibri" w:eastAsia="Times New Roman" w:hAnsi="Calibri" w:cs="Calibri"/>
                <w:b/>
                <w:bCs/>
                <w:i/>
                <w:iCs/>
                <w:color w:val="000000"/>
                <w:sz w:val="20"/>
                <w:szCs w:val="20"/>
                <w:lang w:val="en-GB" w:eastAsia="tr-TR"/>
              </w:rPr>
            </w:pPr>
          </w:p>
        </w:tc>
      </w:tr>
      <w:tr w:rsidR="00BE39B1" w:rsidRPr="007266F8" w:rsidTr="00A10C32">
        <w:trPr>
          <w:trHeight w:val="152"/>
        </w:trPr>
        <w:tc>
          <w:tcPr>
            <w:tcW w:w="3199" w:type="dxa"/>
            <w:tcBorders>
              <w:top w:val="nil"/>
              <w:left w:val="single" w:sz="8" w:space="0" w:color="BDD6EE"/>
              <w:bottom w:val="single" w:sz="8" w:space="0" w:color="BDD6EE"/>
              <w:right w:val="single" w:sz="8" w:space="0" w:color="BDD6EE"/>
            </w:tcBorders>
            <w:shd w:val="clear" w:color="000000" w:fill="DEEAF6"/>
            <w:vAlign w:val="center"/>
            <w:hideMark/>
          </w:tcPr>
          <w:p w:rsidR="00BE39B1" w:rsidRPr="007266F8" w:rsidRDefault="00BE39B1" w:rsidP="00BE39B1">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2021</w:t>
            </w:r>
          </w:p>
        </w:tc>
        <w:tc>
          <w:tcPr>
            <w:tcW w:w="1212" w:type="dxa"/>
            <w:tcBorders>
              <w:top w:val="nil"/>
              <w:left w:val="nil"/>
              <w:bottom w:val="single" w:sz="8" w:space="0" w:color="BDD6EE"/>
              <w:right w:val="single" w:sz="8" w:space="0" w:color="BDD6EE"/>
            </w:tcBorders>
            <w:shd w:val="clear" w:color="000000" w:fill="DEEAF6"/>
            <w:noWrap/>
            <w:vAlign w:val="center"/>
            <w:hideMark/>
          </w:tcPr>
          <w:p w:rsidR="00BE39B1" w:rsidRPr="007266F8" w:rsidRDefault="00BE39B1" w:rsidP="00BE39B1">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MWh</w:t>
            </w:r>
          </w:p>
        </w:tc>
        <w:tc>
          <w:tcPr>
            <w:tcW w:w="1259" w:type="dxa"/>
            <w:tcBorders>
              <w:top w:val="nil"/>
              <w:left w:val="nil"/>
              <w:bottom w:val="single" w:sz="8" w:space="0" w:color="BDD6EE"/>
              <w:right w:val="single" w:sz="8" w:space="0" w:color="BDD6EE"/>
            </w:tcBorders>
            <w:shd w:val="clear" w:color="000000" w:fill="DEEAF6"/>
            <w:noWrap/>
            <w:vAlign w:val="center"/>
            <w:hideMark/>
          </w:tcPr>
          <w:p w:rsidR="00BE39B1" w:rsidRPr="007266F8" w:rsidRDefault="00BE39B1" w:rsidP="00BE39B1">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w:t>
            </w:r>
          </w:p>
        </w:tc>
        <w:tc>
          <w:tcPr>
            <w:tcW w:w="1512" w:type="dxa"/>
            <w:tcBorders>
              <w:top w:val="nil"/>
              <w:left w:val="nil"/>
              <w:bottom w:val="single" w:sz="8" w:space="0" w:color="BDD6EE"/>
              <w:right w:val="single" w:sz="8" w:space="0" w:color="BDD6EE"/>
            </w:tcBorders>
            <w:shd w:val="clear" w:color="000000" w:fill="DEEAF6"/>
            <w:noWrap/>
            <w:vAlign w:val="center"/>
            <w:hideMark/>
          </w:tcPr>
          <w:p w:rsidR="00BE39B1" w:rsidRPr="007266F8" w:rsidRDefault="00BE39B1" w:rsidP="00BE39B1">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 xml:space="preserve">Lot </w:t>
            </w:r>
          </w:p>
        </w:tc>
        <w:tc>
          <w:tcPr>
            <w:tcW w:w="1822" w:type="dxa"/>
            <w:tcBorders>
              <w:top w:val="nil"/>
              <w:left w:val="nil"/>
              <w:bottom w:val="single" w:sz="8" w:space="0" w:color="BDD6EE"/>
              <w:right w:val="single" w:sz="8" w:space="0" w:color="BDD6EE"/>
            </w:tcBorders>
            <w:shd w:val="clear" w:color="000000" w:fill="DEEAF6"/>
            <w:noWrap/>
            <w:vAlign w:val="center"/>
            <w:hideMark/>
          </w:tcPr>
          <w:p w:rsidR="00BE39B1" w:rsidRPr="007266F8" w:rsidRDefault="00A10C32" w:rsidP="00BE39B1">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Hourly</w:t>
            </w:r>
            <w:r w:rsidR="00BE39B1" w:rsidRPr="007266F8">
              <w:rPr>
                <w:rFonts w:ascii="Calibri" w:eastAsia="Times New Roman" w:hAnsi="Calibri" w:cs="Calibri"/>
                <w:b/>
                <w:bCs/>
                <w:color w:val="000000"/>
                <w:sz w:val="20"/>
                <w:szCs w:val="20"/>
                <w:lang w:val="en-GB" w:eastAsia="tr-TR"/>
              </w:rPr>
              <w:t xml:space="preserve"> Lot</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Market Position Limit for January</w:t>
            </w:r>
            <w:r w:rsidR="007A0EC9" w:rsidRPr="007266F8">
              <w:rPr>
                <w:rFonts w:ascii="Calibri" w:eastAsia="Times New Roman" w:hAnsi="Calibri" w:cs="Calibri"/>
                <w:b/>
                <w:bCs/>
                <w:i/>
                <w:iCs/>
                <w:color w:val="000000"/>
                <w:sz w:val="20"/>
                <w:szCs w:val="20"/>
                <w:lang w:val="en-GB" w:eastAsia="tr-TR"/>
              </w:rPr>
              <w:t xml:space="preserve">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9.274.718</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12.466</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92.747.177</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124.660</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A10C32">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Market Position Limit for February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8.824.324</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13.131</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88.243.238</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131.314</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Market Position Limit for March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8.061.694</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10.836</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80.616.937</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108.356</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Market Position Limit for April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6.568.807</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9.123</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65.688.074</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91.233</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Market Position Limit for May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6.609.031</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8.883</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66.090.312</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88.831</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Market Position Limit for June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8.367.984</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11.622</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83.679.839</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116.222</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Market Position Limit for July</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9.787.845</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13.156</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97.878.447</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131.557</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Market Position Limit for August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10.041.100</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13.496</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100.411.003</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134.961</w:t>
            </w:r>
          </w:p>
        </w:tc>
      </w:tr>
      <w:tr w:rsidR="007A0EC9" w:rsidRPr="007266F8" w:rsidTr="00A10C32">
        <w:trPr>
          <w:trHeight w:val="263"/>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Market Position Limit for September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9.473.116</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13.157</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94.731.163</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131.571</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Market Position Limit for October </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8.274.572</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11.122</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82.745.724</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111.217</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Market Position Limit for November</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8.621.942</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11.975</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86.219.417</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119.749</w:t>
            </w:r>
          </w:p>
        </w:tc>
      </w:tr>
      <w:tr w:rsidR="007A0EC9" w:rsidRPr="007266F8" w:rsidTr="00A10C32">
        <w:trPr>
          <w:trHeight w:val="255"/>
        </w:trPr>
        <w:tc>
          <w:tcPr>
            <w:tcW w:w="3199" w:type="dxa"/>
            <w:tcBorders>
              <w:top w:val="nil"/>
              <w:left w:val="single" w:sz="8" w:space="0" w:color="BDD6EE"/>
              <w:bottom w:val="single" w:sz="8" w:space="0" w:color="BDD6EE"/>
              <w:right w:val="single" w:sz="8" w:space="0" w:color="BDD6EE"/>
            </w:tcBorders>
            <w:shd w:val="clear" w:color="auto" w:fill="auto"/>
            <w:vAlign w:val="center"/>
            <w:hideMark/>
          </w:tcPr>
          <w:p w:rsidR="007A0EC9" w:rsidRPr="007266F8" w:rsidRDefault="00A10C32" w:rsidP="007A0EC9">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Market Position Limit for December</w:t>
            </w:r>
          </w:p>
        </w:tc>
        <w:tc>
          <w:tcPr>
            <w:tcW w:w="12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9.414.866</w:t>
            </w:r>
          </w:p>
        </w:tc>
        <w:tc>
          <w:tcPr>
            <w:tcW w:w="1259"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12.654</w:t>
            </w:r>
          </w:p>
        </w:tc>
        <w:tc>
          <w:tcPr>
            <w:tcW w:w="151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94.148.663</w:t>
            </w:r>
          </w:p>
        </w:tc>
        <w:tc>
          <w:tcPr>
            <w:tcW w:w="1822" w:type="dxa"/>
            <w:tcBorders>
              <w:top w:val="nil"/>
              <w:left w:val="nil"/>
              <w:bottom w:val="single" w:sz="8" w:space="0" w:color="BDD6EE"/>
              <w:right w:val="single" w:sz="8" w:space="0" w:color="BDD6EE"/>
            </w:tcBorders>
            <w:shd w:val="clear" w:color="auto" w:fill="auto"/>
            <w:noWrap/>
            <w:hideMark/>
          </w:tcPr>
          <w:p w:rsidR="007A0EC9" w:rsidRPr="007266F8" w:rsidRDefault="007A0EC9" w:rsidP="007A0EC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126.544</w:t>
            </w:r>
          </w:p>
        </w:tc>
      </w:tr>
    </w:tbl>
    <w:p w:rsidR="00313215" w:rsidRPr="007266F8" w:rsidRDefault="00313215" w:rsidP="00AE287F">
      <w:pPr>
        <w:pStyle w:val="Caption"/>
        <w:jc w:val="center"/>
        <w:rPr>
          <w:rFonts w:cstheme="minorHAnsi"/>
          <w:sz w:val="16"/>
          <w:lang w:val="en-GB"/>
        </w:rPr>
      </w:pPr>
      <w:bookmarkStart w:id="15" w:name="_Toc102051374"/>
      <w:r w:rsidRPr="007266F8">
        <w:rPr>
          <w:rFonts w:cstheme="minorHAnsi"/>
          <w:sz w:val="16"/>
          <w:lang w:val="en-GB"/>
        </w:rPr>
        <w:t>Tabl</w:t>
      </w:r>
      <w:r w:rsidR="00AE287F" w:rsidRPr="007266F8">
        <w:rPr>
          <w:rFonts w:cstheme="minorHAnsi"/>
          <w:sz w:val="16"/>
          <w:lang w:val="en-GB"/>
        </w:rPr>
        <w:t>e</w:t>
      </w:r>
      <w:r w:rsidRPr="007266F8">
        <w:rPr>
          <w:rFonts w:cstheme="minorHAnsi"/>
          <w:sz w:val="16"/>
          <w:lang w:val="en-GB"/>
        </w:rPr>
        <w:t xml:space="preserve"> </w:t>
      </w:r>
      <w:r w:rsidR="00D00A6F" w:rsidRPr="007266F8">
        <w:rPr>
          <w:rFonts w:cstheme="minorHAnsi"/>
          <w:sz w:val="16"/>
          <w:lang w:val="en-GB"/>
        </w:rPr>
        <w:fldChar w:fldCharType="begin"/>
      </w:r>
      <w:r w:rsidR="00B56224"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00D12D06" w:rsidRPr="007266F8">
        <w:rPr>
          <w:rFonts w:cstheme="minorHAnsi"/>
          <w:noProof/>
          <w:sz w:val="16"/>
          <w:lang w:val="en-GB"/>
        </w:rPr>
        <w:t>7</w:t>
      </w:r>
      <w:r w:rsidR="00D00A6F" w:rsidRPr="007266F8">
        <w:rPr>
          <w:rFonts w:cstheme="minorHAnsi"/>
          <w:sz w:val="16"/>
          <w:lang w:val="en-GB"/>
        </w:rPr>
        <w:fldChar w:fldCharType="end"/>
      </w:r>
      <w:r w:rsidRPr="007266F8">
        <w:rPr>
          <w:rFonts w:cstheme="minorHAnsi"/>
          <w:sz w:val="16"/>
          <w:lang w:val="en-GB"/>
        </w:rPr>
        <w:t xml:space="preserve"> </w:t>
      </w:r>
      <w:r w:rsidR="00AE287F" w:rsidRPr="007266F8">
        <w:rPr>
          <w:rFonts w:cstheme="minorHAnsi"/>
          <w:sz w:val="16"/>
          <w:lang w:val="en-GB"/>
        </w:rPr>
        <w:t>Market Position Limits for the Monthly Contracts</w:t>
      </w:r>
      <w:bookmarkEnd w:id="15"/>
      <w:r w:rsidR="00AE287F" w:rsidRPr="007266F8">
        <w:rPr>
          <w:rFonts w:cstheme="minorHAnsi"/>
          <w:sz w:val="16"/>
          <w:lang w:val="en-GB"/>
        </w:rPr>
        <w:t xml:space="preserve"> </w:t>
      </w:r>
    </w:p>
    <w:p w:rsidR="00903079" w:rsidRPr="007266F8" w:rsidRDefault="00903079" w:rsidP="00903079">
      <w:pPr>
        <w:rPr>
          <w:lang w:val="en-GB"/>
        </w:rPr>
      </w:pPr>
    </w:p>
    <w:p w:rsidR="007A0EC9" w:rsidRPr="007266F8" w:rsidRDefault="006F0BEE" w:rsidP="006F0BEE">
      <w:pPr>
        <w:pStyle w:val="Heading3"/>
        <w:rPr>
          <w:rFonts w:cstheme="majorHAnsi"/>
          <w:lang w:val="en-GB"/>
        </w:rPr>
      </w:pPr>
      <w:bookmarkStart w:id="16" w:name="_Toc102051401"/>
      <w:r w:rsidRPr="007266F8">
        <w:rPr>
          <w:rFonts w:cstheme="majorHAnsi"/>
          <w:lang w:val="en-GB"/>
        </w:rPr>
        <w:t xml:space="preserve">Cascading </w:t>
      </w:r>
      <w:r w:rsidR="00686B5A">
        <w:rPr>
          <w:rFonts w:cstheme="majorHAnsi"/>
          <w:lang w:val="en-GB"/>
        </w:rPr>
        <w:t>Operation</w:t>
      </w:r>
      <w:r w:rsidRPr="007266F8">
        <w:rPr>
          <w:rFonts w:cstheme="majorHAnsi"/>
          <w:lang w:val="en-GB"/>
        </w:rPr>
        <w:t xml:space="preserve"> and Market Position Limits</w:t>
      </w:r>
      <w:bookmarkEnd w:id="16"/>
      <w:r w:rsidRPr="007266F8">
        <w:rPr>
          <w:rFonts w:cstheme="majorHAnsi"/>
          <w:lang w:val="en-GB"/>
        </w:rPr>
        <w:t xml:space="preserve"> </w:t>
      </w:r>
    </w:p>
    <w:p w:rsidR="00313215" w:rsidRPr="007266F8" w:rsidRDefault="008555D0" w:rsidP="00693FB2">
      <w:pPr>
        <w:ind w:firstLine="708"/>
        <w:jc w:val="both"/>
        <w:rPr>
          <w:rFonts w:cstheme="minorHAnsi"/>
          <w:lang w:val="en-GB"/>
        </w:rPr>
      </w:pPr>
      <w:r w:rsidRPr="007266F8">
        <w:rPr>
          <w:rFonts w:cstheme="minorHAnsi"/>
          <w:lang w:val="en-GB"/>
        </w:rPr>
        <w:t xml:space="preserve">Market position limits of the delivery periods </w:t>
      </w:r>
      <w:r w:rsidR="00260CA8">
        <w:rPr>
          <w:rFonts w:cstheme="minorHAnsi"/>
          <w:lang w:val="en-GB"/>
        </w:rPr>
        <w:t xml:space="preserve">which have been </w:t>
      </w:r>
      <w:r w:rsidRPr="007266F8">
        <w:rPr>
          <w:rFonts w:cstheme="minorHAnsi"/>
          <w:lang w:val="en-GB"/>
        </w:rPr>
        <w:t xml:space="preserve">cascaded as a result of </w:t>
      </w:r>
      <w:r w:rsidR="00C65C07">
        <w:rPr>
          <w:rFonts w:cstheme="minorHAnsi"/>
          <w:lang w:val="en-GB"/>
        </w:rPr>
        <w:t xml:space="preserve">the </w:t>
      </w:r>
      <w:r w:rsidRPr="007266F8">
        <w:rPr>
          <w:rFonts w:cstheme="minorHAnsi"/>
          <w:lang w:val="en-GB"/>
        </w:rPr>
        <w:t xml:space="preserve">cascading </w:t>
      </w:r>
      <w:r w:rsidR="00C65C07">
        <w:rPr>
          <w:rFonts w:cstheme="minorHAnsi"/>
          <w:lang w:val="en-GB"/>
        </w:rPr>
        <w:t xml:space="preserve">of contracts </w:t>
      </w:r>
      <w:r w:rsidRPr="007266F8">
        <w:rPr>
          <w:rFonts w:cstheme="minorHAnsi"/>
          <w:lang w:val="en-GB"/>
        </w:rPr>
        <w:t xml:space="preserve">shall be </w:t>
      </w:r>
      <w:r w:rsidR="00686B5A">
        <w:rPr>
          <w:rFonts w:cstheme="minorHAnsi"/>
          <w:lang w:val="en-GB"/>
        </w:rPr>
        <w:t>allocated</w:t>
      </w:r>
      <w:r w:rsidR="005B310E">
        <w:rPr>
          <w:rFonts w:cstheme="minorHAnsi"/>
          <w:lang w:val="en-GB"/>
        </w:rPr>
        <w:t xml:space="preserve"> to the relevant contracts</w:t>
      </w:r>
      <w:r w:rsidR="00B22383" w:rsidRPr="007266F8">
        <w:rPr>
          <w:rFonts w:cstheme="minorHAnsi"/>
          <w:lang w:val="en-GB"/>
        </w:rPr>
        <w:t xml:space="preserve"> in proportion to</w:t>
      </w:r>
      <w:r w:rsidRPr="007266F8">
        <w:rPr>
          <w:rFonts w:cstheme="minorHAnsi"/>
          <w:lang w:val="en-GB"/>
        </w:rPr>
        <w:t xml:space="preserve"> </w:t>
      </w:r>
      <w:r w:rsidR="00B22383" w:rsidRPr="007266F8">
        <w:rPr>
          <w:rFonts w:cstheme="minorHAnsi"/>
          <w:lang w:val="en-GB"/>
        </w:rPr>
        <w:t xml:space="preserve">the number of days of </w:t>
      </w:r>
      <w:r w:rsidR="00693FB2">
        <w:rPr>
          <w:rFonts w:cstheme="minorHAnsi"/>
          <w:lang w:val="en-GB"/>
        </w:rPr>
        <w:t xml:space="preserve">the </w:t>
      </w:r>
      <w:r w:rsidR="00B22383" w:rsidRPr="007266F8">
        <w:rPr>
          <w:rFonts w:cstheme="minorHAnsi"/>
          <w:lang w:val="en-GB"/>
        </w:rPr>
        <w:t>relevant contracts with shorter delivery periods.</w:t>
      </w:r>
      <w:r w:rsidR="00955B28" w:rsidRPr="007266F8">
        <w:rPr>
          <w:rFonts w:cstheme="minorHAnsi"/>
          <w:lang w:val="en-GB"/>
        </w:rPr>
        <w:t xml:space="preserve"> Upon closing of the contract relating to the cascading </w:t>
      </w:r>
      <w:r w:rsidR="005B310E">
        <w:rPr>
          <w:rFonts w:cstheme="minorHAnsi"/>
          <w:lang w:val="en-GB"/>
        </w:rPr>
        <w:t>operation</w:t>
      </w:r>
      <w:r w:rsidR="00955B28" w:rsidRPr="007266F8">
        <w:rPr>
          <w:rFonts w:cstheme="minorHAnsi"/>
          <w:lang w:val="en-GB"/>
        </w:rPr>
        <w:t xml:space="preserve">, the market position limits of the yearly contract shall be transferred to quarterly contracts </w:t>
      </w:r>
      <w:r w:rsidR="00693FB2">
        <w:rPr>
          <w:rFonts w:cstheme="minorHAnsi"/>
          <w:lang w:val="en-GB"/>
        </w:rPr>
        <w:t>and</w:t>
      </w:r>
      <w:r w:rsidR="00955B28" w:rsidRPr="007266F8">
        <w:rPr>
          <w:rFonts w:cstheme="minorHAnsi"/>
          <w:lang w:val="en-GB"/>
        </w:rPr>
        <w:t xml:space="preserve"> the market position limits of the quarterly contract</w:t>
      </w:r>
      <w:r w:rsidR="005B310E">
        <w:rPr>
          <w:rFonts w:cstheme="minorHAnsi"/>
          <w:lang w:val="en-GB"/>
        </w:rPr>
        <w:t xml:space="preserve"> </w:t>
      </w:r>
      <w:r w:rsidR="00955B28" w:rsidRPr="007266F8">
        <w:rPr>
          <w:rFonts w:cstheme="minorHAnsi"/>
          <w:lang w:val="en-GB"/>
        </w:rPr>
        <w:t>shall be transferred to the monthly contracts</w:t>
      </w:r>
      <w:r w:rsidR="000304EE" w:rsidRPr="007266F8">
        <w:rPr>
          <w:rFonts w:cstheme="minorHAnsi"/>
          <w:lang w:val="en-GB"/>
        </w:rPr>
        <w:t>.</w:t>
      </w:r>
    </w:p>
    <w:p w:rsidR="00841DB5" w:rsidRPr="007266F8" w:rsidRDefault="00C3047F" w:rsidP="00443B0C">
      <w:pPr>
        <w:ind w:firstLine="708"/>
        <w:jc w:val="both"/>
        <w:rPr>
          <w:rFonts w:cstheme="minorHAnsi"/>
          <w:lang w:val="en-GB"/>
        </w:rPr>
      </w:pPr>
      <w:r w:rsidRPr="007266F8">
        <w:rPr>
          <w:rFonts w:cstheme="minorHAnsi"/>
          <w:lang w:val="en-GB"/>
        </w:rPr>
        <w:t xml:space="preserve">For example, upon closing of the contracts for the </w:t>
      </w:r>
      <w:r w:rsidR="007A3644">
        <w:rPr>
          <w:rFonts w:cstheme="minorHAnsi"/>
          <w:lang w:val="en-GB"/>
        </w:rPr>
        <w:t xml:space="preserve">year </w:t>
      </w:r>
      <w:r w:rsidRPr="007266F8">
        <w:rPr>
          <w:rFonts w:cstheme="minorHAnsi"/>
          <w:lang w:val="en-GB"/>
        </w:rPr>
        <w:t xml:space="preserve">2021, the market position limit of the yearly contract shall be </w:t>
      </w:r>
      <w:r w:rsidR="005B310E">
        <w:rPr>
          <w:rFonts w:cstheme="minorHAnsi"/>
          <w:lang w:val="en-GB"/>
        </w:rPr>
        <w:t>allocated to the quarterly contracts</w:t>
      </w:r>
      <w:r w:rsidRPr="007266F8">
        <w:rPr>
          <w:rFonts w:cstheme="minorHAnsi"/>
          <w:lang w:val="en-GB"/>
        </w:rPr>
        <w:t xml:space="preserve"> in proportion to the number of days of the 4 quarterly contracts covered by the </w:t>
      </w:r>
      <w:r w:rsidR="007A3644">
        <w:rPr>
          <w:rFonts w:cstheme="minorHAnsi"/>
          <w:lang w:val="en-GB"/>
        </w:rPr>
        <w:t xml:space="preserve">year </w:t>
      </w:r>
      <w:r w:rsidRPr="007266F8">
        <w:rPr>
          <w:rFonts w:cstheme="minorHAnsi"/>
          <w:lang w:val="en-GB"/>
        </w:rPr>
        <w:t>2021. Upon closing of the 1</w:t>
      </w:r>
      <w:r w:rsidRPr="007266F8">
        <w:rPr>
          <w:rFonts w:cstheme="minorHAnsi"/>
          <w:vertAlign w:val="superscript"/>
          <w:lang w:val="en-GB"/>
        </w:rPr>
        <w:t>st</w:t>
      </w:r>
      <w:r w:rsidRPr="007266F8">
        <w:rPr>
          <w:rFonts w:cstheme="minorHAnsi"/>
          <w:lang w:val="en-GB"/>
        </w:rPr>
        <w:t xml:space="preserve"> Quarterly Contract of </w:t>
      </w:r>
      <w:r w:rsidR="007A3644">
        <w:rPr>
          <w:rFonts w:cstheme="minorHAnsi"/>
          <w:lang w:val="en-GB"/>
        </w:rPr>
        <w:t xml:space="preserve">the year </w:t>
      </w:r>
      <w:r w:rsidRPr="007266F8">
        <w:rPr>
          <w:rFonts w:cstheme="minorHAnsi"/>
          <w:lang w:val="en-GB"/>
        </w:rPr>
        <w:t xml:space="preserve">2021, the market position limit of the first quarter shall be </w:t>
      </w:r>
      <w:r w:rsidR="005B310E">
        <w:rPr>
          <w:rFonts w:cstheme="minorHAnsi"/>
          <w:lang w:val="en-GB"/>
        </w:rPr>
        <w:t>allocated to the monthly contracts</w:t>
      </w:r>
      <w:r w:rsidRPr="007266F8">
        <w:rPr>
          <w:rFonts w:cstheme="minorHAnsi"/>
          <w:lang w:val="en-GB"/>
        </w:rPr>
        <w:t xml:space="preserve"> in proportion to the number of days of the months covered by the first quarter, i.e. January, February and March. As no cascading </w:t>
      </w:r>
      <w:r w:rsidR="00855EE8">
        <w:rPr>
          <w:rFonts w:cstheme="minorHAnsi"/>
          <w:lang w:val="en-GB"/>
        </w:rPr>
        <w:t>operation</w:t>
      </w:r>
      <w:r w:rsidR="00443B0C" w:rsidRPr="007266F8">
        <w:rPr>
          <w:rFonts w:cstheme="minorHAnsi"/>
          <w:lang w:val="en-GB"/>
        </w:rPr>
        <w:t xml:space="preserve"> has been performed for the second, third and fourth quarterly contracts, there will be no change in the market limits of relevant quarters</w:t>
      </w:r>
      <w:r w:rsidR="00313215" w:rsidRPr="007266F8">
        <w:rPr>
          <w:rFonts w:cstheme="minorHAnsi"/>
          <w:lang w:val="en-GB"/>
        </w:rPr>
        <w:t>.</w:t>
      </w:r>
    </w:p>
    <w:tbl>
      <w:tblPr>
        <w:tblW w:w="9126" w:type="dxa"/>
        <w:tblCellMar>
          <w:left w:w="70" w:type="dxa"/>
          <w:right w:w="70" w:type="dxa"/>
        </w:tblCellMar>
        <w:tblLook w:val="04A0" w:firstRow="1" w:lastRow="0" w:firstColumn="1" w:lastColumn="0" w:noHBand="0" w:noVBand="1"/>
      </w:tblPr>
      <w:tblGrid>
        <w:gridCol w:w="1451"/>
        <w:gridCol w:w="1780"/>
        <w:gridCol w:w="2039"/>
        <w:gridCol w:w="1893"/>
        <w:gridCol w:w="1963"/>
      </w:tblGrid>
      <w:tr w:rsidR="00841DB5" w:rsidRPr="007266F8" w:rsidTr="002335D4">
        <w:trPr>
          <w:trHeight w:val="195"/>
        </w:trPr>
        <w:tc>
          <w:tcPr>
            <w:tcW w:w="145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7266F8" w:rsidRDefault="00443B0C" w:rsidP="002335D4">
            <w:pPr>
              <w:spacing w:after="0" w:line="240" w:lineRule="auto"/>
              <w:jc w:val="center"/>
              <w:rPr>
                <w:rFonts w:ascii="Calibri" w:eastAsia="Times New Roman" w:hAnsi="Calibri" w:cs="Calibri"/>
                <w:i/>
                <w:iCs/>
                <w:color w:val="000000"/>
                <w:sz w:val="16"/>
                <w:szCs w:val="16"/>
                <w:lang w:val="en-GB" w:eastAsia="tr-TR"/>
              </w:rPr>
            </w:pPr>
            <w:r w:rsidRPr="007266F8">
              <w:rPr>
                <w:rFonts w:ascii="Calibri" w:eastAsia="Times New Roman" w:hAnsi="Calibri" w:cs="Calibri"/>
                <w:i/>
                <w:iCs/>
                <w:color w:val="000000"/>
                <w:sz w:val="16"/>
                <w:szCs w:val="16"/>
                <w:lang w:val="en-GB" w:eastAsia="tr-TR"/>
              </w:rPr>
              <w:t xml:space="preserve">Quarter &amp; Number of Days </w:t>
            </w:r>
          </w:p>
        </w:tc>
        <w:tc>
          <w:tcPr>
            <w:tcW w:w="1780"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7266F8" w:rsidRDefault="00DC4C92" w:rsidP="00DC4C92">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 xml:space="preserve">Yearly Contract Market Position Limits </w:t>
            </w:r>
            <w:r w:rsidR="00841DB5" w:rsidRPr="007266F8">
              <w:rPr>
                <w:rFonts w:ascii="Calibri" w:eastAsia="Times New Roman" w:hAnsi="Calibri" w:cs="Calibri"/>
                <w:b/>
                <w:bCs/>
                <w:i/>
                <w:iCs/>
                <w:color w:val="000000"/>
                <w:sz w:val="16"/>
                <w:szCs w:val="16"/>
                <w:lang w:val="en-GB" w:eastAsia="tr-TR"/>
              </w:rPr>
              <w:t>(Lot)</w:t>
            </w:r>
          </w:p>
        </w:tc>
        <w:tc>
          <w:tcPr>
            <w:tcW w:w="2039"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7266F8" w:rsidRDefault="00DC4C92" w:rsidP="00DC4C92">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 xml:space="preserve">Market Position Limits Cascaded from Year to Quarters (Lot) </w:t>
            </w:r>
          </w:p>
        </w:tc>
        <w:tc>
          <w:tcPr>
            <w:tcW w:w="189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7266F8" w:rsidRDefault="00DC4C92" w:rsidP="00DC4C92">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 xml:space="preserve">Quarterly Contracts Market Position Limits              </w:t>
            </w:r>
            <w:r w:rsidR="00841DB5" w:rsidRPr="007266F8">
              <w:rPr>
                <w:rFonts w:ascii="Calibri" w:eastAsia="Times New Roman" w:hAnsi="Calibri" w:cs="Calibri"/>
                <w:b/>
                <w:bCs/>
                <w:i/>
                <w:iCs/>
                <w:color w:val="000000"/>
                <w:sz w:val="16"/>
                <w:szCs w:val="16"/>
                <w:lang w:val="en-GB" w:eastAsia="tr-TR"/>
              </w:rPr>
              <w:t>(Lot)</w:t>
            </w:r>
          </w:p>
        </w:tc>
        <w:tc>
          <w:tcPr>
            <w:tcW w:w="196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7266F8" w:rsidRDefault="00DC4C92" w:rsidP="008727B9">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 xml:space="preserve">Quarterly </w:t>
            </w:r>
            <w:r w:rsidR="008727B9" w:rsidRPr="007266F8">
              <w:rPr>
                <w:rFonts w:ascii="Calibri" w:eastAsia="Times New Roman" w:hAnsi="Calibri" w:cs="Calibri"/>
                <w:b/>
                <w:bCs/>
                <w:i/>
                <w:iCs/>
                <w:color w:val="000000"/>
                <w:sz w:val="16"/>
                <w:szCs w:val="16"/>
                <w:lang w:val="en-GB" w:eastAsia="tr-TR"/>
              </w:rPr>
              <w:t>Market Position Limits as a result of Cascading</w:t>
            </w:r>
            <w:r w:rsidR="00841DB5" w:rsidRPr="007266F8">
              <w:rPr>
                <w:rFonts w:ascii="Calibri" w:eastAsia="Times New Roman" w:hAnsi="Calibri" w:cs="Calibri"/>
                <w:b/>
                <w:bCs/>
                <w:i/>
                <w:iCs/>
                <w:color w:val="000000"/>
                <w:sz w:val="16"/>
                <w:szCs w:val="16"/>
                <w:lang w:val="en-GB" w:eastAsia="tr-TR"/>
              </w:rPr>
              <w:t xml:space="preserve"> (Lot)</w:t>
            </w:r>
          </w:p>
        </w:tc>
      </w:tr>
      <w:tr w:rsidR="00841DB5" w:rsidRPr="007266F8" w:rsidTr="002335D4">
        <w:trPr>
          <w:trHeight w:val="450"/>
        </w:trPr>
        <w:tc>
          <w:tcPr>
            <w:tcW w:w="1451"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7266F8" w:rsidRDefault="00841DB5" w:rsidP="002335D4">
            <w:pPr>
              <w:spacing w:after="0" w:line="240" w:lineRule="auto"/>
              <w:rPr>
                <w:rFonts w:ascii="Calibri" w:eastAsia="Times New Roman" w:hAnsi="Calibri" w:cs="Calibri"/>
                <w:i/>
                <w:iCs/>
                <w:color w:val="000000"/>
                <w:sz w:val="16"/>
                <w:szCs w:val="16"/>
                <w:lang w:val="en-GB" w:eastAsia="tr-TR"/>
              </w:rPr>
            </w:pPr>
          </w:p>
        </w:tc>
        <w:tc>
          <w:tcPr>
            <w:tcW w:w="1780"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7266F8" w:rsidRDefault="00841DB5" w:rsidP="002335D4">
            <w:pPr>
              <w:spacing w:after="0" w:line="240" w:lineRule="auto"/>
              <w:rPr>
                <w:rFonts w:ascii="Calibri" w:eastAsia="Times New Roman" w:hAnsi="Calibri" w:cs="Calibri"/>
                <w:b/>
                <w:bCs/>
                <w:i/>
                <w:iCs/>
                <w:color w:val="000000"/>
                <w:sz w:val="16"/>
                <w:szCs w:val="16"/>
                <w:lang w:val="en-GB" w:eastAsia="tr-TR"/>
              </w:rPr>
            </w:pPr>
          </w:p>
        </w:tc>
        <w:tc>
          <w:tcPr>
            <w:tcW w:w="2039"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7266F8" w:rsidRDefault="00841DB5" w:rsidP="002335D4">
            <w:pPr>
              <w:spacing w:after="0" w:line="240" w:lineRule="auto"/>
              <w:rPr>
                <w:rFonts w:ascii="Calibri" w:eastAsia="Times New Roman" w:hAnsi="Calibri" w:cs="Calibri"/>
                <w:b/>
                <w:bCs/>
                <w:i/>
                <w:iCs/>
                <w:color w:val="000000"/>
                <w:sz w:val="16"/>
                <w:szCs w:val="16"/>
                <w:lang w:val="en-GB" w:eastAsia="tr-TR"/>
              </w:rPr>
            </w:pPr>
          </w:p>
        </w:tc>
        <w:tc>
          <w:tcPr>
            <w:tcW w:w="189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7266F8" w:rsidRDefault="00841DB5" w:rsidP="002335D4">
            <w:pPr>
              <w:spacing w:after="0" w:line="240" w:lineRule="auto"/>
              <w:rPr>
                <w:rFonts w:ascii="Calibri" w:eastAsia="Times New Roman" w:hAnsi="Calibri" w:cs="Calibri"/>
                <w:b/>
                <w:bCs/>
                <w:i/>
                <w:iCs/>
                <w:color w:val="000000"/>
                <w:sz w:val="16"/>
                <w:szCs w:val="16"/>
                <w:lang w:val="en-GB" w:eastAsia="tr-TR"/>
              </w:rPr>
            </w:pPr>
          </w:p>
        </w:tc>
        <w:tc>
          <w:tcPr>
            <w:tcW w:w="196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7266F8" w:rsidRDefault="00841DB5" w:rsidP="002335D4">
            <w:pPr>
              <w:spacing w:after="0" w:line="240" w:lineRule="auto"/>
              <w:rPr>
                <w:rFonts w:ascii="Calibri" w:eastAsia="Times New Roman" w:hAnsi="Calibri" w:cs="Calibri"/>
                <w:b/>
                <w:bCs/>
                <w:i/>
                <w:iCs/>
                <w:color w:val="000000"/>
                <w:sz w:val="16"/>
                <w:szCs w:val="16"/>
                <w:lang w:val="en-GB" w:eastAsia="tr-TR"/>
              </w:rPr>
            </w:pPr>
          </w:p>
        </w:tc>
      </w:tr>
      <w:tr w:rsidR="00841DB5" w:rsidRPr="007266F8"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7266F8" w:rsidRDefault="00443B0C"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Quarter</w:t>
            </w:r>
            <w:r w:rsidR="00841DB5" w:rsidRPr="007266F8">
              <w:rPr>
                <w:rFonts w:ascii="Calibri" w:eastAsia="Times New Roman" w:hAnsi="Calibri" w:cs="Calibri"/>
                <w:color w:val="000000"/>
                <w:sz w:val="18"/>
                <w:szCs w:val="18"/>
                <w:lang w:val="en-GB" w:eastAsia="tr-TR"/>
              </w:rPr>
              <w:t xml:space="preserve"> 1 (90)</w:t>
            </w:r>
          </w:p>
        </w:tc>
        <w:tc>
          <w:tcPr>
            <w:tcW w:w="1780"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vAlign w:val="center"/>
            <w:hideMark/>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172.200.000</w:t>
            </w: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hideMark/>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42.460.274</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130.314.697</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172.774.971</w:t>
            </w:r>
          </w:p>
        </w:tc>
      </w:tr>
      <w:tr w:rsidR="00841DB5" w:rsidRPr="007266F8"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7266F8" w:rsidRDefault="00443B0C"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Quarter</w:t>
            </w:r>
            <w:r w:rsidR="00841DB5" w:rsidRPr="007266F8">
              <w:rPr>
                <w:rFonts w:ascii="Calibri" w:eastAsia="Times New Roman" w:hAnsi="Calibri" w:cs="Calibri"/>
                <w:color w:val="000000"/>
                <w:sz w:val="18"/>
                <w:szCs w:val="18"/>
                <w:lang w:val="en-GB" w:eastAsia="tr-TR"/>
              </w:rPr>
              <w:t xml:space="preserve"> 2 (91)</w:t>
            </w:r>
          </w:p>
        </w:tc>
        <w:tc>
          <w:tcPr>
            <w:tcW w:w="1780" w:type="dxa"/>
            <w:vMerge/>
            <w:tcBorders>
              <w:left w:val="single" w:sz="4" w:space="0" w:color="BDD6EE" w:themeColor="accent1" w:themeTint="66"/>
              <w:right w:val="single" w:sz="4" w:space="0" w:color="BDD6EE" w:themeColor="accent1" w:themeTint="66"/>
            </w:tcBorders>
            <w:shd w:val="clear" w:color="auto" w:fill="auto"/>
            <w:noWrap/>
            <w:hideMark/>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42.932.055</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110.738.692</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153.670.747</w:t>
            </w:r>
          </w:p>
        </w:tc>
      </w:tr>
      <w:tr w:rsidR="00841DB5" w:rsidRPr="007266F8"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7266F8" w:rsidRDefault="00443B0C"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Quarter</w:t>
            </w:r>
            <w:r w:rsidR="00841DB5" w:rsidRPr="007266F8">
              <w:rPr>
                <w:rFonts w:ascii="Calibri" w:eastAsia="Times New Roman" w:hAnsi="Calibri" w:cs="Calibri"/>
                <w:color w:val="000000"/>
                <w:sz w:val="18"/>
                <w:szCs w:val="18"/>
                <w:lang w:val="en-GB" w:eastAsia="tr-TR"/>
              </w:rPr>
              <w:t xml:space="preserve"> 3 (92)</w:t>
            </w:r>
          </w:p>
        </w:tc>
        <w:tc>
          <w:tcPr>
            <w:tcW w:w="1780" w:type="dxa"/>
            <w:vMerge/>
            <w:tcBorders>
              <w:left w:val="single" w:sz="4" w:space="0" w:color="BDD6EE" w:themeColor="accent1" w:themeTint="66"/>
              <w:right w:val="single" w:sz="4" w:space="0" w:color="BDD6EE" w:themeColor="accent1" w:themeTint="66"/>
            </w:tcBorders>
            <w:shd w:val="clear" w:color="auto" w:fill="auto"/>
            <w:noWrap/>
            <w:hideMark/>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43.403.836</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144.181.908</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187.585.744</w:t>
            </w:r>
          </w:p>
        </w:tc>
      </w:tr>
      <w:tr w:rsidR="00841DB5" w:rsidRPr="007266F8"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7266F8" w:rsidRDefault="00443B0C"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Quarter</w:t>
            </w:r>
            <w:r w:rsidR="00841DB5" w:rsidRPr="007266F8">
              <w:rPr>
                <w:rFonts w:ascii="Calibri" w:eastAsia="Times New Roman" w:hAnsi="Calibri" w:cs="Calibri"/>
                <w:color w:val="000000"/>
                <w:sz w:val="18"/>
                <w:szCs w:val="18"/>
                <w:lang w:val="en-GB" w:eastAsia="tr-TR"/>
              </w:rPr>
              <w:t xml:space="preserve"> 4 (92)</w:t>
            </w:r>
          </w:p>
        </w:tc>
        <w:tc>
          <w:tcPr>
            <w:tcW w:w="1780"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p>
        </w:tc>
        <w:tc>
          <w:tcPr>
            <w:tcW w:w="20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43.403.836</w:t>
            </w:r>
          </w:p>
        </w:tc>
        <w:tc>
          <w:tcPr>
            <w:tcW w:w="18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131.364.703</w:t>
            </w:r>
          </w:p>
        </w:tc>
        <w:tc>
          <w:tcPr>
            <w:tcW w:w="196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7266F8" w:rsidRDefault="00841DB5" w:rsidP="002335D4">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174.768.539</w:t>
            </w:r>
          </w:p>
        </w:tc>
      </w:tr>
    </w:tbl>
    <w:p w:rsidR="00841DB5" w:rsidRPr="007266F8" w:rsidRDefault="000E1DF0" w:rsidP="000E1DF0">
      <w:pPr>
        <w:pStyle w:val="Caption"/>
        <w:jc w:val="center"/>
        <w:rPr>
          <w:rFonts w:cstheme="minorHAnsi"/>
          <w:sz w:val="16"/>
          <w:lang w:val="en-GB"/>
        </w:rPr>
      </w:pPr>
      <w:bookmarkStart w:id="17" w:name="_Toc102051375"/>
      <w:r w:rsidRPr="007266F8">
        <w:rPr>
          <w:rFonts w:cstheme="minorHAnsi"/>
          <w:sz w:val="16"/>
          <w:lang w:val="en-GB"/>
        </w:rPr>
        <w:t>Table</w:t>
      </w:r>
      <w:r w:rsidR="0066293C" w:rsidRPr="007266F8">
        <w:rPr>
          <w:rFonts w:cstheme="minorHAnsi"/>
          <w:sz w:val="16"/>
          <w:lang w:val="en-GB"/>
        </w:rPr>
        <w:t xml:space="preserve"> </w:t>
      </w:r>
      <w:r w:rsidR="00D00A6F" w:rsidRPr="007266F8">
        <w:rPr>
          <w:rFonts w:cstheme="minorHAnsi"/>
          <w:sz w:val="16"/>
          <w:lang w:val="en-GB"/>
        </w:rPr>
        <w:fldChar w:fldCharType="begin"/>
      </w:r>
      <w:r w:rsidR="0066293C"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00D12D06" w:rsidRPr="007266F8">
        <w:rPr>
          <w:rFonts w:cstheme="minorHAnsi"/>
          <w:noProof/>
          <w:sz w:val="16"/>
          <w:lang w:val="en-GB"/>
        </w:rPr>
        <w:t>8</w:t>
      </w:r>
      <w:r w:rsidR="00D00A6F" w:rsidRPr="007266F8">
        <w:rPr>
          <w:rFonts w:cstheme="minorHAnsi"/>
          <w:sz w:val="16"/>
          <w:lang w:val="en-GB"/>
        </w:rPr>
        <w:fldChar w:fldCharType="end"/>
      </w:r>
      <w:r w:rsidR="0066293C" w:rsidRPr="007266F8">
        <w:rPr>
          <w:rFonts w:cstheme="minorHAnsi"/>
          <w:sz w:val="16"/>
          <w:lang w:val="en-GB"/>
        </w:rPr>
        <w:t xml:space="preserve"> </w:t>
      </w:r>
      <w:r w:rsidRPr="007266F8">
        <w:rPr>
          <w:rFonts w:cstheme="minorHAnsi"/>
          <w:sz w:val="16"/>
          <w:lang w:val="en-GB"/>
        </w:rPr>
        <w:t>Quarterly Market Position Limits as a result of Cascading</w:t>
      </w:r>
      <w:bookmarkEnd w:id="17"/>
      <w:r w:rsidRPr="007266F8">
        <w:rPr>
          <w:rFonts w:cstheme="minorHAnsi"/>
          <w:sz w:val="16"/>
          <w:lang w:val="en-GB"/>
        </w:rPr>
        <w:t xml:space="preserve"> </w:t>
      </w:r>
    </w:p>
    <w:p w:rsidR="00841DB5" w:rsidRPr="007266F8" w:rsidRDefault="00841DB5" w:rsidP="0082481D">
      <w:pPr>
        <w:jc w:val="both"/>
        <w:rPr>
          <w:rFonts w:cstheme="minorHAnsi"/>
          <w:lang w:val="en-GB"/>
        </w:rPr>
      </w:pPr>
    </w:p>
    <w:tbl>
      <w:tblPr>
        <w:tblW w:w="9326" w:type="dxa"/>
        <w:tblCellMar>
          <w:left w:w="70" w:type="dxa"/>
          <w:right w:w="70" w:type="dxa"/>
        </w:tblCellMar>
        <w:tblLook w:val="04A0" w:firstRow="1" w:lastRow="0" w:firstColumn="1" w:lastColumn="0" w:noHBand="0" w:noVBand="1"/>
      </w:tblPr>
      <w:tblGrid>
        <w:gridCol w:w="1322"/>
        <w:gridCol w:w="1273"/>
        <w:gridCol w:w="1561"/>
        <w:gridCol w:w="1788"/>
        <w:gridCol w:w="1660"/>
        <w:gridCol w:w="1722"/>
      </w:tblGrid>
      <w:tr w:rsidR="008F13ED" w:rsidRPr="007266F8" w:rsidTr="008F13ED">
        <w:trPr>
          <w:trHeight w:val="276"/>
        </w:trPr>
        <w:tc>
          <w:tcPr>
            <w:tcW w:w="132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7266F8" w:rsidRDefault="006D0B24" w:rsidP="00A76E9D">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i/>
                <w:iCs/>
                <w:color w:val="000000"/>
                <w:sz w:val="16"/>
                <w:szCs w:val="16"/>
                <w:lang w:val="en-GB" w:eastAsia="tr-TR"/>
              </w:rPr>
              <w:t>Month &amp; Number of Days</w:t>
            </w:r>
          </w:p>
        </w:tc>
        <w:tc>
          <w:tcPr>
            <w:tcW w:w="127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7266F8" w:rsidRDefault="00B25BC7" w:rsidP="00A76E9D">
            <w:pPr>
              <w:spacing w:after="0" w:line="240" w:lineRule="auto"/>
              <w:jc w:val="center"/>
              <w:rPr>
                <w:rFonts w:ascii="Calibri" w:eastAsia="Times New Roman" w:hAnsi="Calibri" w:cs="Calibri"/>
                <w:i/>
                <w:iCs/>
                <w:color w:val="000000"/>
                <w:sz w:val="16"/>
                <w:szCs w:val="16"/>
                <w:lang w:val="en-GB" w:eastAsia="tr-TR"/>
              </w:rPr>
            </w:pPr>
            <w:r w:rsidRPr="007266F8">
              <w:rPr>
                <w:rFonts w:ascii="Calibri" w:eastAsia="Times New Roman" w:hAnsi="Calibri" w:cs="Calibri"/>
                <w:i/>
                <w:iCs/>
                <w:color w:val="000000"/>
                <w:sz w:val="16"/>
                <w:szCs w:val="16"/>
                <w:lang w:val="en-GB" w:eastAsia="tr-TR"/>
              </w:rPr>
              <w:t>Quarter &amp; Number of Days</w:t>
            </w:r>
          </w:p>
        </w:tc>
        <w:tc>
          <w:tcPr>
            <w:tcW w:w="156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B25BC7" w:rsidRPr="007266F8" w:rsidRDefault="00B25BC7" w:rsidP="00B25BC7">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 xml:space="preserve">Quarterly Contracts Market Position Limits            </w:t>
            </w:r>
          </w:p>
          <w:p w:rsidR="008F13ED" w:rsidRPr="007266F8" w:rsidRDefault="008F13ED" w:rsidP="00B25BC7">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(Lot)</w:t>
            </w:r>
          </w:p>
        </w:tc>
        <w:tc>
          <w:tcPr>
            <w:tcW w:w="178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7266F8" w:rsidRDefault="00B25BC7" w:rsidP="00B25BC7">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Market Position Limits Cascad</w:t>
            </w:r>
            <w:r w:rsidR="00855EE8">
              <w:rPr>
                <w:rFonts w:ascii="Calibri" w:eastAsia="Times New Roman" w:hAnsi="Calibri" w:cs="Calibri"/>
                <w:b/>
                <w:bCs/>
                <w:i/>
                <w:iCs/>
                <w:color w:val="000000"/>
                <w:sz w:val="16"/>
                <w:szCs w:val="16"/>
                <w:lang w:val="en-GB" w:eastAsia="tr-TR"/>
              </w:rPr>
              <w:t>ed from Quarter to Months (Lot)</w:t>
            </w:r>
          </w:p>
        </w:tc>
        <w:tc>
          <w:tcPr>
            <w:tcW w:w="1660"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7266F8" w:rsidRDefault="00B25BC7" w:rsidP="00A76E9D">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Monthly Contracts Market Position Limits</w:t>
            </w:r>
            <w:r w:rsidR="008F13ED" w:rsidRPr="007266F8">
              <w:rPr>
                <w:rFonts w:ascii="Calibri" w:eastAsia="Times New Roman" w:hAnsi="Calibri" w:cs="Calibri"/>
                <w:b/>
                <w:bCs/>
                <w:i/>
                <w:iCs/>
                <w:color w:val="000000"/>
                <w:sz w:val="16"/>
                <w:szCs w:val="16"/>
                <w:lang w:val="en-GB" w:eastAsia="tr-TR"/>
              </w:rPr>
              <w:t xml:space="preserve">                     (Lot)</w:t>
            </w:r>
          </w:p>
        </w:tc>
        <w:tc>
          <w:tcPr>
            <w:tcW w:w="172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7266F8" w:rsidRDefault="00B25BC7" w:rsidP="00A76E9D">
            <w:pPr>
              <w:spacing w:after="0" w:line="240" w:lineRule="auto"/>
              <w:jc w:val="center"/>
              <w:rPr>
                <w:rFonts w:ascii="Calibri" w:eastAsia="Times New Roman" w:hAnsi="Calibri" w:cs="Calibri"/>
                <w:b/>
                <w:bCs/>
                <w:i/>
                <w:iCs/>
                <w:color w:val="000000"/>
                <w:sz w:val="16"/>
                <w:szCs w:val="16"/>
                <w:lang w:val="en-GB" w:eastAsia="tr-TR"/>
              </w:rPr>
            </w:pPr>
            <w:r w:rsidRPr="007266F8">
              <w:rPr>
                <w:rFonts w:ascii="Calibri" w:eastAsia="Times New Roman" w:hAnsi="Calibri" w:cs="Calibri"/>
                <w:b/>
                <w:bCs/>
                <w:i/>
                <w:iCs/>
                <w:color w:val="000000"/>
                <w:sz w:val="16"/>
                <w:szCs w:val="16"/>
                <w:lang w:val="en-GB" w:eastAsia="tr-TR"/>
              </w:rPr>
              <w:t xml:space="preserve">Monthly Market Position Limits as a result of Cascading </w:t>
            </w:r>
            <w:r w:rsidR="008F13ED" w:rsidRPr="007266F8">
              <w:rPr>
                <w:rFonts w:ascii="Calibri" w:eastAsia="Times New Roman" w:hAnsi="Calibri" w:cs="Calibri"/>
                <w:b/>
                <w:bCs/>
                <w:i/>
                <w:iCs/>
                <w:color w:val="000000"/>
                <w:sz w:val="16"/>
                <w:szCs w:val="16"/>
                <w:lang w:val="en-GB" w:eastAsia="tr-TR"/>
              </w:rPr>
              <w:t>(Lot)</w:t>
            </w:r>
          </w:p>
        </w:tc>
      </w:tr>
      <w:tr w:rsidR="008F13ED" w:rsidRPr="007266F8" w:rsidTr="008F13ED">
        <w:trPr>
          <w:trHeight w:val="450"/>
        </w:trPr>
        <w:tc>
          <w:tcPr>
            <w:tcW w:w="1322"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7266F8" w:rsidRDefault="008F13ED" w:rsidP="00A76E9D">
            <w:pPr>
              <w:spacing w:after="0" w:line="240" w:lineRule="auto"/>
              <w:rPr>
                <w:rFonts w:ascii="Calibri" w:eastAsia="Times New Roman" w:hAnsi="Calibri" w:cs="Calibri"/>
                <w:b/>
                <w:bCs/>
                <w:i/>
                <w:iCs/>
                <w:color w:val="000000"/>
                <w:sz w:val="16"/>
                <w:szCs w:val="16"/>
                <w:lang w:val="en-GB" w:eastAsia="tr-TR"/>
              </w:rPr>
            </w:pPr>
          </w:p>
        </w:tc>
        <w:tc>
          <w:tcPr>
            <w:tcW w:w="127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7266F8" w:rsidRDefault="008F13ED" w:rsidP="00A76E9D">
            <w:pPr>
              <w:spacing w:after="0" w:line="240" w:lineRule="auto"/>
              <w:rPr>
                <w:rFonts w:ascii="Calibri" w:eastAsia="Times New Roman" w:hAnsi="Calibri" w:cs="Calibri"/>
                <w:i/>
                <w:iCs/>
                <w:color w:val="000000"/>
                <w:sz w:val="16"/>
                <w:szCs w:val="16"/>
                <w:lang w:val="en-GB" w:eastAsia="tr-TR"/>
              </w:rPr>
            </w:pPr>
          </w:p>
        </w:tc>
        <w:tc>
          <w:tcPr>
            <w:tcW w:w="1561"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7266F8" w:rsidRDefault="008F13ED" w:rsidP="00A76E9D">
            <w:pPr>
              <w:spacing w:after="0" w:line="240" w:lineRule="auto"/>
              <w:rPr>
                <w:rFonts w:ascii="Calibri" w:eastAsia="Times New Roman" w:hAnsi="Calibri" w:cs="Calibri"/>
                <w:b/>
                <w:bCs/>
                <w:i/>
                <w:iCs/>
                <w:color w:val="000000"/>
                <w:sz w:val="16"/>
                <w:szCs w:val="16"/>
                <w:lang w:val="en-GB" w:eastAsia="tr-TR"/>
              </w:rPr>
            </w:pPr>
          </w:p>
        </w:tc>
        <w:tc>
          <w:tcPr>
            <w:tcW w:w="178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7266F8" w:rsidRDefault="008F13ED" w:rsidP="00A76E9D">
            <w:pPr>
              <w:spacing w:after="0" w:line="240" w:lineRule="auto"/>
              <w:rPr>
                <w:rFonts w:ascii="Calibri" w:eastAsia="Times New Roman" w:hAnsi="Calibri" w:cs="Calibri"/>
                <w:b/>
                <w:bCs/>
                <w:i/>
                <w:iCs/>
                <w:color w:val="000000"/>
                <w:sz w:val="16"/>
                <w:szCs w:val="16"/>
                <w:lang w:val="en-GB" w:eastAsia="tr-TR"/>
              </w:rPr>
            </w:pPr>
          </w:p>
        </w:tc>
        <w:tc>
          <w:tcPr>
            <w:tcW w:w="1660"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7266F8" w:rsidRDefault="008F13ED" w:rsidP="00A76E9D">
            <w:pPr>
              <w:spacing w:after="0" w:line="240" w:lineRule="auto"/>
              <w:rPr>
                <w:rFonts w:ascii="Calibri" w:eastAsia="Times New Roman" w:hAnsi="Calibri" w:cs="Calibri"/>
                <w:b/>
                <w:bCs/>
                <w:i/>
                <w:iCs/>
                <w:color w:val="000000"/>
                <w:sz w:val="16"/>
                <w:szCs w:val="16"/>
                <w:lang w:val="en-GB" w:eastAsia="tr-TR"/>
              </w:rPr>
            </w:pPr>
          </w:p>
        </w:tc>
        <w:tc>
          <w:tcPr>
            <w:tcW w:w="1722"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7266F8" w:rsidRDefault="008F13ED" w:rsidP="00A76E9D">
            <w:pPr>
              <w:spacing w:after="0" w:line="240" w:lineRule="auto"/>
              <w:rPr>
                <w:rFonts w:ascii="Calibri" w:eastAsia="Times New Roman" w:hAnsi="Calibri" w:cs="Calibri"/>
                <w:b/>
                <w:bCs/>
                <w:i/>
                <w:iCs/>
                <w:color w:val="000000"/>
                <w:sz w:val="16"/>
                <w:szCs w:val="16"/>
                <w:lang w:val="en-GB" w:eastAsia="tr-TR"/>
              </w:rPr>
            </w:pPr>
          </w:p>
        </w:tc>
      </w:tr>
      <w:tr w:rsidR="00903079" w:rsidRPr="007266F8" w:rsidTr="002335D4">
        <w:trPr>
          <w:trHeight w:val="88"/>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January</w:t>
            </w:r>
            <w:r w:rsidR="00903079" w:rsidRPr="007266F8">
              <w:rPr>
                <w:rFonts w:ascii="Calibri" w:eastAsia="Times New Roman" w:hAnsi="Calibri" w:cs="Calibri"/>
                <w:color w:val="000000"/>
                <w:sz w:val="18"/>
                <w:szCs w:val="18"/>
                <w:lang w:val="en-GB" w:eastAsia="tr-TR"/>
              </w:rPr>
              <w:t xml:space="preserve">  (31)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B25BC7"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Quarter</w:t>
            </w:r>
            <w:r w:rsidR="00903079" w:rsidRPr="007266F8">
              <w:rPr>
                <w:rFonts w:ascii="Calibri" w:eastAsia="Times New Roman" w:hAnsi="Calibri" w:cs="Calibri"/>
                <w:color w:val="000000"/>
                <w:sz w:val="18"/>
                <w:szCs w:val="18"/>
                <w:lang w:val="en-GB" w:eastAsia="tr-TR"/>
              </w:rPr>
              <w:t xml:space="preserve"> 1 (90)</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172.774.971</w:t>
            </w:r>
          </w:p>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59.511.379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92.747.177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152.258.556</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February</w:t>
            </w:r>
            <w:r w:rsidR="00903079" w:rsidRPr="007266F8">
              <w:rPr>
                <w:rFonts w:ascii="Calibri" w:eastAsia="Times New Roman" w:hAnsi="Calibri" w:cs="Calibri"/>
                <w:color w:val="000000"/>
                <w:sz w:val="18"/>
                <w:szCs w:val="18"/>
                <w:lang w:val="en-GB" w:eastAsia="tr-TR"/>
              </w:rPr>
              <w:t xml:space="preserve"> (28)</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7266F8" w:rsidRDefault="00903079" w:rsidP="00903079">
            <w:pPr>
              <w:spacing w:after="0" w:line="240" w:lineRule="auto"/>
              <w:rPr>
                <w:rFonts w:ascii="Calibri" w:eastAsia="Times New Roman" w:hAnsi="Calibri" w:cs="Calibri"/>
                <w:color w:val="000000"/>
                <w:sz w:val="18"/>
                <w:szCs w:val="18"/>
                <w:lang w:val="en-GB"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53.752.213</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88.243.238</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141.995.451</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March</w:t>
            </w:r>
            <w:r w:rsidR="00903079" w:rsidRPr="007266F8">
              <w:rPr>
                <w:rFonts w:ascii="Calibri" w:eastAsia="Times New Roman" w:hAnsi="Calibri" w:cs="Calibri"/>
                <w:color w:val="000000"/>
                <w:sz w:val="18"/>
                <w:szCs w:val="18"/>
                <w:lang w:val="en-GB" w:eastAsia="tr-TR"/>
              </w:rPr>
              <w:t xml:space="preserve">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7266F8" w:rsidRDefault="00903079" w:rsidP="00903079">
            <w:pPr>
              <w:spacing w:after="0" w:line="240" w:lineRule="auto"/>
              <w:rPr>
                <w:rFonts w:ascii="Calibri" w:eastAsia="Times New Roman" w:hAnsi="Calibri" w:cs="Calibri"/>
                <w:color w:val="000000"/>
                <w:sz w:val="18"/>
                <w:szCs w:val="18"/>
                <w:lang w:val="en-GB"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59.511.379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80.616.937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140.128.316</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April</w:t>
            </w:r>
            <w:r w:rsidR="00903079" w:rsidRPr="007266F8">
              <w:rPr>
                <w:rFonts w:ascii="Calibri" w:eastAsia="Times New Roman" w:hAnsi="Calibri" w:cs="Calibri"/>
                <w:color w:val="000000"/>
                <w:sz w:val="18"/>
                <w:szCs w:val="18"/>
                <w:lang w:val="en-GB" w:eastAsia="tr-TR"/>
              </w:rPr>
              <w:t xml:space="preserve"> (30</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B25BC7"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Quarter</w:t>
            </w:r>
            <w:r w:rsidR="00903079" w:rsidRPr="007266F8">
              <w:rPr>
                <w:rFonts w:ascii="Calibri" w:eastAsia="Times New Roman" w:hAnsi="Calibri" w:cs="Calibri"/>
                <w:color w:val="000000"/>
                <w:sz w:val="18"/>
                <w:szCs w:val="18"/>
                <w:lang w:val="en-GB" w:eastAsia="tr-TR"/>
              </w:rPr>
              <w:t xml:space="preserve"> 2 (91)</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153.670.747</w:t>
            </w:r>
          </w:p>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50.660.686</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65.688.074</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116.348.760</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May</w:t>
            </w:r>
            <w:r w:rsidR="00903079" w:rsidRPr="007266F8">
              <w:rPr>
                <w:rFonts w:ascii="Calibri" w:eastAsia="Times New Roman" w:hAnsi="Calibri" w:cs="Calibri"/>
                <w:color w:val="000000"/>
                <w:sz w:val="18"/>
                <w:szCs w:val="18"/>
                <w:lang w:val="en-GB" w:eastAsia="tr-TR"/>
              </w:rPr>
              <w:t xml:space="preserve">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7266F8" w:rsidRDefault="00903079" w:rsidP="00903079">
            <w:pPr>
              <w:spacing w:after="0" w:line="240" w:lineRule="auto"/>
              <w:rPr>
                <w:rFonts w:ascii="Calibri" w:eastAsia="Times New Roman" w:hAnsi="Calibri" w:cs="Calibri"/>
                <w:color w:val="000000"/>
                <w:sz w:val="18"/>
                <w:szCs w:val="18"/>
                <w:lang w:val="en-GB"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52.349.375</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66.090.312</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118.439.687</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 xml:space="preserve">June </w:t>
            </w:r>
            <w:r w:rsidR="00903079" w:rsidRPr="007266F8">
              <w:rPr>
                <w:rFonts w:ascii="Calibri" w:eastAsia="Times New Roman" w:hAnsi="Calibri" w:cs="Calibri"/>
                <w:color w:val="000000"/>
                <w:sz w:val="18"/>
                <w:szCs w:val="18"/>
                <w:lang w:val="en-GB" w:eastAsia="tr-TR"/>
              </w:rPr>
              <w:t>(30)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7266F8" w:rsidRDefault="00903079" w:rsidP="00903079">
            <w:pPr>
              <w:spacing w:after="0" w:line="240" w:lineRule="auto"/>
              <w:rPr>
                <w:rFonts w:ascii="Calibri" w:eastAsia="Times New Roman" w:hAnsi="Calibri" w:cs="Calibri"/>
                <w:color w:val="000000"/>
                <w:sz w:val="18"/>
                <w:szCs w:val="18"/>
                <w:lang w:val="en-GB"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50.660.686</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83.679.839</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134.340.525</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 xml:space="preserve">July </w:t>
            </w:r>
            <w:r w:rsidR="00903079" w:rsidRPr="007266F8">
              <w:rPr>
                <w:rFonts w:ascii="Calibri" w:eastAsia="Times New Roman" w:hAnsi="Calibri" w:cs="Calibri"/>
                <w:color w:val="000000"/>
                <w:sz w:val="18"/>
                <w:szCs w:val="18"/>
                <w:lang w:val="en-GB" w:eastAsia="tr-TR"/>
              </w:rPr>
              <w:t>(31)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B25BC7"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Quarter</w:t>
            </w:r>
            <w:r w:rsidR="00903079" w:rsidRPr="007266F8">
              <w:rPr>
                <w:rFonts w:ascii="Calibri" w:eastAsia="Times New Roman" w:hAnsi="Calibri" w:cs="Calibri"/>
                <w:color w:val="000000"/>
                <w:sz w:val="18"/>
                <w:szCs w:val="18"/>
                <w:lang w:val="en-GB" w:eastAsia="tr-TR"/>
              </w:rPr>
              <w:t xml:space="preserve"> 3 (92)</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187.585.744</w:t>
            </w:r>
          </w:p>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63.208.240</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97.878.447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161.086.687</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August</w:t>
            </w:r>
            <w:r w:rsidR="00903079" w:rsidRPr="007266F8">
              <w:rPr>
                <w:rFonts w:ascii="Calibri" w:eastAsia="Times New Roman" w:hAnsi="Calibri" w:cs="Calibri"/>
                <w:color w:val="000000"/>
                <w:sz w:val="18"/>
                <w:szCs w:val="18"/>
                <w:lang w:val="en-GB" w:eastAsia="tr-TR"/>
              </w:rPr>
              <w:t xml:space="preserve">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7266F8" w:rsidRDefault="00903079" w:rsidP="00903079">
            <w:pPr>
              <w:spacing w:after="0" w:line="240" w:lineRule="auto"/>
              <w:rPr>
                <w:rFonts w:ascii="Calibri" w:eastAsia="Times New Roman" w:hAnsi="Calibri" w:cs="Calibri"/>
                <w:color w:val="000000"/>
                <w:sz w:val="18"/>
                <w:szCs w:val="18"/>
                <w:lang w:val="en-GB"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63.208.240</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100.411.003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163.619.243</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September</w:t>
            </w:r>
            <w:r w:rsidR="00903079" w:rsidRPr="007266F8">
              <w:rPr>
                <w:rFonts w:ascii="Calibri" w:eastAsia="Times New Roman" w:hAnsi="Calibri" w:cs="Calibri"/>
                <w:color w:val="000000"/>
                <w:sz w:val="18"/>
                <w:szCs w:val="18"/>
                <w:lang w:val="en-GB" w:eastAsia="tr-TR"/>
              </w:rPr>
              <w:t xml:space="preserve"> (30)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7266F8" w:rsidRDefault="00903079" w:rsidP="00903079">
            <w:pPr>
              <w:spacing w:after="0" w:line="240" w:lineRule="auto"/>
              <w:rPr>
                <w:rFonts w:ascii="Calibri" w:eastAsia="Times New Roman" w:hAnsi="Calibri" w:cs="Calibri"/>
                <w:color w:val="000000"/>
                <w:sz w:val="18"/>
                <w:szCs w:val="18"/>
                <w:lang w:val="en-GB"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61.169.264</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94.731.163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155.900.427</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October</w:t>
            </w:r>
            <w:r w:rsidR="00903079" w:rsidRPr="007266F8">
              <w:rPr>
                <w:rFonts w:ascii="Calibri" w:eastAsia="Times New Roman" w:hAnsi="Calibri" w:cs="Calibri"/>
                <w:color w:val="000000"/>
                <w:sz w:val="18"/>
                <w:szCs w:val="18"/>
                <w:lang w:val="en-GB" w:eastAsia="tr-TR"/>
              </w:rPr>
              <w:t xml:space="preserve"> (31)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B25BC7"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Quarter</w:t>
            </w:r>
            <w:r w:rsidR="00903079" w:rsidRPr="007266F8">
              <w:rPr>
                <w:rFonts w:ascii="Calibri" w:eastAsia="Times New Roman" w:hAnsi="Calibri" w:cs="Calibri"/>
                <w:color w:val="000000"/>
                <w:sz w:val="18"/>
                <w:szCs w:val="18"/>
                <w:lang w:val="en-GB" w:eastAsia="tr-TR"/>
              </w:rPr>
              <w:t xml:space="preserve"> 4 (92)</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174.768.539</w:t>
            </w:r>
          </w:p>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58.889.399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82.745.724</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141.635.123</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November</w:t>
            </w:r>
            <w:r w:rsidR="00903079" w:rsidRPr="007266F8">
              <w:rPr>
                <w:rFonts w:ascii="Calibri" w:eastAsia="Times New Roman" w:hAnsi="Calibri" w:cs="Calibri"/>
                <w:color w:val="000000"/>
                <w:sz w:val="18"/>
                <w:szCs w:val="18"/>
                <w:lang w:val="en-GB" w:eastAsia="tr-TR"/>
              </w:rPr>
              <w:t xml:space="preserve"> (30)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7266F8" w:rsidRDefault="00903079" w:rsidP="00903079">
            <w:pPr>
              <w:spacing w:after="0" w:line="240" w:lineRule="auto"/>
              <w:rPr>
                <w:rFonts w:ascii="Calibri" w:eastAsia="Times New Roman" w:hAnsi="Calibri" w:cs="Calibri"/>
                <w:color w:val="000000"/>
                <w:sz w:val="18"/>
                <w:szCs w:val="18"/>
                <w:lang w:val="en-GB"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56.989.741</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86.219.417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143.209.158</w:t>
            </w:r>
          </w:p>
        </w:tc>
      </w:tr>
      <w:tr w:rsidR="00903079" w:rsidRPr="007266F8"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7266F8" w:rsidRDefault="006D0B24"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December</w:t>
            </w:r>
            <w:r w:rsidR="00903079" w:rsidRPr="007266F8">
              <w:rPr>
                <w:rFonts w:ascii="Calibri" w:eastAsia="Times New Roman" w:hAnsi="Calibri" w:cs="Calibri"/>
                <w:color w:val="000000"/>
                <w:sz w:val="18"/>
                <w:szCs w:val="18"/>
                <w:lang w:val="en-GB" w:eastAsia="tr-TR"/>
              </w:rPr>
              <w:t xml:space="preserve">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7266F8" w:rsidRDefault="00903079" w:rsidP="00903079">
            <w:pPr>
              <w:spacing w:after="0" w:line="240" w:lineRule="auto"/>
              <w:rPr>
                <w:rFonts w:ascii="Calibri" w:eastAsia="Times New Roman" w:hAnsi="Calibri" w:cs="Calibri"/>
                <w:color w:val="000000"/>
                <w:sz w:val="18"/>
                <w:szCs w:val="18"/>
                <w:lang w:val="en-GB"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58.889.399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94.148.663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7266F8" w:rsidRDefault="00903079" w:rsidP="00903079">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153.038.062</w:t>
            </w:r>
          </w:p>
        </w:tc>
      </w:tr>
    </w:tbl>
    <w:p w:rsidR="00313215" w:rsidRPr="007266F8" w:rsidRDefault="002335D4" w:rsidP="000E1DF0">
      <w:pPr>
        <w:pStyle w:val="Caption"/>
        <w:jc w:val="center"/>
        <w:rPr>
          <w:rFonts w:cstheme="minorHAnsi"/>
          <w:sz w:val="16"/>
          <w:lang w:val="en-GB"/>
        </w:rPr>
      </w:pPr>
      <w:bookmarkStart w:id="18" w:name="_Toc102051376"/>
      <w:r w:rsidRPr="007266F8">
        <w:rPr>
          <w:rFonts w:cstheme="minorHAnsi"/>
          <w:sz w:val="16"/>
          <w:lang w:val="en-GB"/>
        </w:rPr>
        <w:t>Tabl</w:t>
      </w:r>
      <w:r w:rsidR="000E1DF0" w:rsidRPr="007266F8">
        <w:rPr>
          <w:rFonts w:cstheme="minorHAnsi"/>
          <w:sz w:val="16"/>
          <w:lang w:val="en-GB"/>
        </w:rPr>
        <w:t>e</w:t>
      </w:r>
      <w:r w:rsidRPr="007266F8">
        <w:rPr>
          <w:rFonts w:cstheme="minorHAnsi"/>
          <w:sz w:val="16"/>
          <w:lang w:val="en-GB"/>
        </w:rPr>
        <w:t xml:space="preserve"> </w:t>
      </w:r>
      <w:r w:rsidR="00D00A6F" w:rsidRPr="007266F8">
        <w:rPr>
          <w:rFonts w:cstheme="minorHAnsi"/>
          <w:sz w:val="16"/>
          <w:lang w:val="en-GB"/>
        </w:rPr>
        <w:fldChar w:fldCharType="begin"/>
      </w:r>
      <w:r w:rsidRPr="007266F8">
        <w:rPr>
          <w:rFonts w:cstheme="minorHAnsi"/>
          <w:sz w:val="16"/>
          <w:lang w:val="en-GB"/>
        </w:rPr>
        <w:instrText xml:space="preserve"> SEQ Tablo \* ARABIC </w:instrText>
      </w:r>
      <w:r w:rsidR="00D00A6F" w:rsidRPr="007266F8">
        <w:rPr>
          <w:rFonts w:cstheme="minorHAnsi"/>
          <w:sz w:val="16"/>
          <w:lang w:val="en-GB"/>
        </w:rPr>
        <w:fldChar w:fldCharType="separate"/>
      </w:r>
      <w:r w:rsidR="00D12D06" w:rsidRPr="007266F8">
        <w:rPr>
          <w:rFonts w:cstheme="minorHAnsi"/>
          <w:noProof/>
          <w:sz w:val="16"/>
          <w:lang w:val="en-GB"/>
        </w:rPr>
        <w:t>9</w:t>
      </w:r>
      <w:r w:rsidR="00D00A6F" w:rsidRPr="007266F8">
        <w:rPr>
          <w:rFonts w:cstheme="minorHAnsi"/>
          <w:sz w:val="16"/>
          <w:lang w:val="en-GB"/>
        </w:rPr>
        <w:fldChar w:fldCharType="end"/>
      </w:r>
      <w:r w:rsidRPr="007266F8">
        <w:rPr>
          <w:rFonts w:cstheme="minorHAnsi"/>
          <w:sz w:val="16"/>
          <w:lang w:val="en-GB"/>
        </w:rPr>
        <w:t xml:space="preserve">  </w:t>
      </w:r>
      <w:r w:rsidR="000E1DF0" w:rsidRPr="007266F8">
        <w:rPr>
          <w:rFonts w:cstheme="minorHAnsi"/>
          <w:sz w:val="16"/>
          <w:lang w:val="en-GB"/>
        </w:rPr>
        <w:t>Monthly Market Position Limits as a result of Cascading</w:t>
      </w:r>
      <w:bookmarkEnd w:id="18"/>
    </w:p>
    <w:p w:rsidR="00313215" w:rsidRPr="007266F8" w:rsidRDefault="00313215" w:rsidP="008426E4">
      <w:pPr>
        <w:spacing w:after="0"/>
        <w:rPr>
          <w:rFonts w:cstheme="minorHAnsi"/>
          <w:lang w:val="en-GB"/>
        </w:rPr>
      </w:pPr>
    </w:p>
    <w:p w:rsidR="00313215" w:rsidRPr="007266F8" w:rsidRDefault="00CC681D" w:rsidP="00313215">
      <w:pPr>
        <w:pStyle w:val="Heading3"/>
        <w:rPr>
          <w:rFonts w:cstheme="majorHAnsi"/>
          <w:lang w:val="en-GB"/>
        </w:rPr>
      </w:pPr>
      <w:bookmarkStart w:id="19" w:name="_Toc102051402"/>
      <w:r w:rsidRPr="007266F8">
        <w:rPr>
          <w:rFonts w:cstheme="majorHAnsi"/>
          <w:lang w:val="en-GB"/>
        </w:rPr>
        <w:t>Determination of Market Position Limits for the Balance of Month (BOM) Contracts</w:t>
      </w:r>
      <w:bookmarkEnd w:id="19"/>
      <w:r w:rsidRPr="007266F8">
        <w:rPr>
          <w:rFonts w:cstheme="majorHAnsi"/>
          <w:lang w:val="en-GB"/>
        </w:rPr>
        <w:t xml:space="preserve"> </w:t>
      </w:r>
      <w:r w:rsidR="00A6522F">
        <w:rPr>
          <w:rFonts w:cstheme="majorHAnsi"/>
          <w:lang w:val="en-GB"/>
        </w:rPr>
        <w:t xml:space="preserve"> </w:t>
      </w:r>
    </w:p>
    <w:p w:rsidR="0066293C" w:rsidRPr="007266F8" w:rsidRDefault="00184680" w:rsidP="00184680">
      <w:pPr>
        <w:ind w:firstLine="708"/>
        <w:jc w:val="both"/>
        <w:rPr>
          <w:rFonts w:cstheme="minorHAnsi"/>
          <w:lang w:val="en-GB"/>
        </w:rPr>
      </w:pPr>
      <w:r>
        <w:rPr>
          <w:rFonts w:cstheme="minorHAnsi"/>
          <w:lang w:val="en-GB"/>
        </w:rPr>
        <w:t>The b</w:t>
      </w:r>
      <w:r w:rsidR="00FD666D" w:rsidRPr="007266F8">
        <w:rPr>
          <w:rFonts w:cstheme="minorHAnsi"/>
          <w:lang w:val="en-GB"/>
        </w:rPr>
        <w:t xml:space="preserve">alance of month (BOM) contracts are contracts </w:t>
      </w:r>
      <w:r>
        <w:rPr>
          <w:rFonts w:cstheme="minorHAnsi"/>
          <w:lang w:val="en-GB"/>
        </w:rPr>
        <w:t>which</w:t>
      </w:r>
      <w:r w:rsidR="00FD666D" w:rsidRPr="007266F8">
        <w:rPr>
          <w:rFonts w:cstheme="minorHAnsi"/>
          <w:lang w:val="en-GB"/>
        </w:rPr>
        <w:t xml:space="preserve"> can be opened upon </w:t>
      </w:r>
      <w:r>
        <w:rPr>
          <w:rFonts w:cstheme="minorHAnsi"/>
          <w:lang w:val="en-GB"/>
        </w:rPr>
        <w:t xml:space="preserve">the </w:t>
      </w:r>
      <w:r w:rsidR="00FD666D" w:rsidRPr="007266F8">
        <w:rPr>
          <w:rFonts w:cstheme="minorHAnsi"/>
          <w:lang w:val="en-GB"/>
        </w:rPr>
        <w:t>closing of the monthly contract. Market position limits for the balance of month contrac</w:t>
      </w:r>
      <w:r w:rsidR="003E1B8D" w:rsidRPr="007266F8">
        <w:rPr>
          <w:rFonts w:cstheme="minorHAnsi"/>
          <w:lang w:val="en-GB"/>
        </w:rPr>
        <w:t xml:space="preserve">ts shall be calculated by dividing the closed monthly contract’s market position limit into the number of days of the month on an equal basis, and then multiplying them </w:t>
      </w:r>
      <w:r w:rsidR="000178C1" w:rsidRPr="007266F8">
        <w:rPr>
          <w:rFonts w:cstheme="minorHAnsi"/>
          <w:lang w:val="en-GB"/>
        </w:rPr>
        <w:t>by</w:t>
      </w:r>
      <w:r w:rsidR="003E1B8D" w:rsidRPr="007266F8">
        <w:rPr>
          <w:rFonts w:cstheme="minorHAnsi"/>
          <w:lang w:val="en-GB"/>
        </w:rPr>
        <w:t xml:space="preserve"> the number of days covered by the balance of month contract. </w:t>
      </w:r>
      <w:r w:rsidR="000C0EC3" w:rsidRPr="007266F8">
        <w:rPr>
          <w:rFonts w:cstheme="minorHAnsi"/>
          <w:lang w:val="en-GB"/>
        </w:rPr>
        <w:t xml:space="preserve">For example, </w:t>
      </w:r>
      <w:r w:rsidR="00BA266D" w:rsidRPr="007266F8">
        <w:rPr>
          <w:rFonts w:cstheme="minorHAnsi"/>
          <w:lang w:val="en-GB"/>
        </w:rPr>
        <w:t>July’s market position limit quantity following cascading is 16.108 GWh. When we divide July’s market position limit into the number of days, the daily market position limit will be 520 GWh. For the balance of month contract starting from the 2</w:t>
      </w:r>
      <w:r w:rsidR="00BA266D" w:rsidRPr="007266F8">
        <w:rPr>
          <w:rFonts w:cstheme="minorHAnsi"/>
          <w:vertAlign w:val="superscript"/>
          <w:lang w:val="en-GB"/>
        </w:rPr>
        <w:t>nd</w:t>
      </w:r>
      <w:r w:rsidR="00BA266D" w:rsidRPr="007266F8">
        <w:rPr>
          <w:rFonts w:cstheme="minorHAnsi"/>
          <w:lang w:val="en-GB"/>
        </w:rPr>
        <w:t xml:space="preserve"> day and ending on the last day (inclusive) of applicable month, the market position limit would be 520*30=15.589. </w:t>
      </w:r>
      <w:r w:rsidR="00E905CA" w:rsidRPr="007266F8">
        <w:rPr>
          <w:rFonts w:cstheme="minorHAnsi"/>
          <w:lang w:val="en-GB"/>
        </w:rPr>
        <w:t xml:space="preserve"> Balance of month market position limits for the July are listed in the following table</w:t>
      </w:r>
      <w:r w:rsidR="00313215" w:rsidRPr="007266F8">
        <w:rPr>
          <w:rFonts w:cstheme="minorHAnsi"/>
          <w:lang w:val="en-GB"/>
        </w:rPr>
        <w:t xml:space="preserve">.  </w:t>
      </w:r>
    </w:p>
    <w:p w:rsidR="0066293C" w:rsidRPr="007266F8" w:rsidRDefault="0066293C" w:rsidP="00AD13B0">
      <w:pPr>
        <w:ind w:firstLine="708"/>
        <w:jc w:val="both"/>
        <w:rPr>
          <w:rFonts w:cstheme="minorHAnsi"/>
          <w:lang w:val="en-GB"/>
        </w:rPr>
      </w:pPr>
    </w:p>
    <w:tbl>
      <w:tblPr>
        <w:tblW w:w="8998" w:type="dxa"/>
        <w:tblInd w:w="-10" w:type="dxa"/>
        <w:tblCellMar>
          <w:left w:w="70" w:type="dxa"/>
          <w:right w:w="70" w:type="dxa"/>
        </w:tblCellMar>
        <w:tblLook w:val="04A0" w:firstRow="1" w:lastRow="0" w:firstColumn="1" w:lastColumn="0" w:noHBand="0" w:noVBand="1"/>
      </w:tblPr>
      <w:tblGrid>
        <w:gridCol w:w="2723"/>
        <w:gridCol w:w="1349"/>
        <w:gridCol w:w="1439"/>
        <w:gridCol w:w="1935"/>
        <w:gridCol w:w="1552"/>
      </w:tblGrid>
      <w:tr w:rsidR="00FC02EB" w:rsidRPr="007266F8" w:rsidTr="000532DB">
        <w:trPr>
          <w:trHeight w:val="250"/>
        </w:trPr>
        <w:tc>
          <w:tcPr>
            <w:tcW w:w="2723" w:type="dxa"/>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FC02EB" w:rsidRPr="007266F8" w:rsidRDefault="00E905CA" w:rsidP="00FC02EB">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 xml:space="preserve">Name of </w:t>
            </w:r>
            <w:r w:rsidR="00D06A8B">
              <w:rPr>
                <w:rFonts w:ascii="Calibri" w:eastAsia="Times New Roman" w:hAnsi="Calibri" w:cs="Calibri"/>
                <w:b/>
                <w:bCs/>
                <w:color w:val="000000"/>
                <w:sz w:val="20"/>
                <w:szCs w:val="20"/>
                <w:lang w:val="en-GB" w:eastAsia="tr-TR"/>
              </w:rPr>
              <w:t xml:space="preserve">the </w:t>
            </w:r>
            <w:r w:rsidRPr="007266F8">
              <w:rPr>
                <w:rFonts w:ascii="Calibri" w:eastAsia="Times New Roman" w:hAnsi="Calibri" w:cs="Calibri"/>
                <w:b/>
                <w:bCs/>
                <w:color w:val="000000"/>
                <w:sz w:val="20"/>
                <w:szCs w:val="20"/>
                <w:lang w:val="en-GB" w:eastAsia="tr-TR"/>
              </w:rPr>
              <w:t xml:space="preserve">Balance of Month </w:t>
            </w:r>
            <w:r w:rsidR="00D06A8B">
              <w:rPr>
                <w:rFonts w:ascii="Calibri" w:eastAsia="Times New Roman" w:hAnsi="Calibri" w:cs="Calibri"/>
                <w:b/>
                <w:bCs/>
                <w:color w:val="000000"/>
                <w:sz w:val="20"/>
                <w:szCs w:val="20"/>
                <w:lang w:val="en-GB" w:eastAsia="tr-TR"/>
              </w:rPr>
              <w:t xml:space="preserve">(BOM) </w:t>
            </w:r>
            <w:r w:rsidRPr="007266F8">
              <w:rPr>
                <w:rFonts w:ascii="Calibri" w:eastAsia="Times New Roman" w:hAnsi="Calibri" w:cs="Calibri"/>
                <w:b/>
                <w:bCs/>
                <w:color w:val="000000"/>
                <w:sz w:val="20"/>
                <w:szCs w:val="20"/>
                <w:lang w:val="en-GB" w:eastAsia="tr-TR"/>
              </w:rPr>
              <w:t xml:space="preserve">Contract </w:t>
            </w:r>
          </w:p>
        </w:tc>
        <w:tc>
          <w:tcPr>
            <w:tcW w:w="1349"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7266F8" w:rsidRDefault="00FC02EB" w:rsidP="00FC02EB">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MWh</w:t>
            </w:r>
          </w:p>
        </w:tc>
        <w:tc>
          <w:tcPr>
            <w:tcW w:w="1439"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7266F8" w:rsidRDefault="00FC02EB" w:rsidP="00FC02EB">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w:t>
            </w:r>
          </w:p>
        </w:tc>
        <w:tc>
          <w:tcPr>
            <w:tcW w:w="1935"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7266F8" w:rsidRDefault="00FC02EB" w:rsidP="00FC02EB">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Lot</w:t>
            </w:r>
          </w:p>
        </w:tc>
        <w:tc>
          <w:tcPr>
            <w:tcW w:w="1552"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7266F8" w:rsidRDefault="00E905CA" w:rsidP="00FC02EB">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 xml:space="preserve">Hourly </w:t>
            </w:r>
            <w:r w:rsidR="00FC02EB" w:rsidRPr="007266F8">
              <w:rPr>
                <w:rFonts w:ascii="Calibri" w:eastAsia="Times New Roman" w:hAnsi="Calibri" w:cs="Calibri"/>
                <w:b/>
                <w:bCs/>
                <w:color w:val="000000"/>
                <w:sz w:val="20"/>
                <w:szCs w:val="20"/>
                <w:lang w:val="en-GB" w:eastAsia="tr-TR"/>
              </w:rPr>
              <w:t>Lot</w:t>
            </w:r>
          </w:p>
        </w:tc>
      </w:tr>
      <w:tr w:rsidR="0094552D" w:rsidRPr="007266F8" w:rsidTr="002335D4">
        <w:trPr>
          <w:trHeight w:val="261"/>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EBBOM0721-02</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15.589.034</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155.890.342</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EBBOM0721-03</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15.069.400</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150.693.998</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EBBOM0721-04</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14.549.765</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145.497.653</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EBBOM0721-05</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14.030.131</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140.301.308</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EBBOM0721-06</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13.510.496</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135.104.963</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EBBOM0721-07</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12.990.862</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129.908.619</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EBBOM0721-08</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12.471.227</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124.712.274</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EBBOM0721-09</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11.951.593</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119.515.929</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EBBOM0721-10</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11.431.958</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114.319.584</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EBBOM0721-11</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10.912.324</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109.123.240</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EBBOM0721-12</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10.392.689</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103.926.895</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EBBOM0721-13</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9.873.055</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98.730.550</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EBBOM0721-14</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9.353.421</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93.534.205</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EBBOM0721-15</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8.833.786</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88.337.861</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EBBOM0721-16</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8.314.152</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83.141.516</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EBBOM0721-17</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7.794.517</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77.945.171</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EBBOM0721-18</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7.274.883</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72.748.826</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EBBOM0721-19</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6.755.248</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67.552.482</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EBBOM0721-20</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6.235.614</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62.356.137</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EBBOM0721-21</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5.715.979</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57.159.792</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EBBOM0721-22</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5.196.345</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51.963.447</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EBBOM0721-23</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4.676.710</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46.767.103</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EBBOM0721-24</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4.157.076</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41.570.758</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EBBOM0721-25</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3.637.441</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36.374.413</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EBBOM0721-26</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3.117.807</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31.178.068</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EBBOM0721-27</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2.598.172</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25.981.724</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EBBOM0721-28</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2.078.538</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20.785.379</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EBBOM0721-29</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1.558.903</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15.589.034</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EBBOM0721-30</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1.039.269</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10.392.689</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r w:rsidR="0094552D" w:rsidRPr="007266F8"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7266F8" w:rsidRDefault="0094552D" w:rsidP="0094552D">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EBBOM0721-31</w:t>
            </w:r>
          </w:p>
        </w:tc>
        <w:tc>
          <w:tcPr>
            <w:tcW w:w="134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519.634</w:t>
            </w:r>
          </w:p>
        </w:tc>
        <w:tc>
          <w:tcPr>
            <w:tcW w:w="1439"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5.196.345</w:t>
            </w:r>
          </w:p>
        </w:tc>
        <w:tc>
          <w:tcPr>
            <w:tcW w:w="1552" w:type="dxa"/>
            <w:tcBorders>
              <w:top w:val="nil"/>
              <w:left w:val="nil"/>
              <w:bottom w:val="single" w:sz="8" w:space="0" w:color="BDD6EE"/>
              <w:right w:val="single" w:sz="8" w:space="0" w:color="BDD6EE"/>
            </w:tcBorders>
            <w:shd w:val="clear" w:color="auto" w:fill="auto"/>
            <w:noWrap/>
            <w:hideMark/>
          </w:tcPr>
          <w:p w:rsidR="0094552D" w:rsidRPr="007266F8" w:rsidRDefault="0094552D" w:rsidP="0094552D">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216514</w:t>
            </w:r>
          </w:p>
        </w:tc>
      </w:tr>
    </w:tbl>
    <w:p w:rsidR="00313215" w:rsidRPr="007266F8" w:rsidRDefault="00313215" w:rsidP="00443DE8">
      <w:pPr>
        <w:pStyle w:val="Caption"/>
        <w:jc w:val="center"/>
        <w:rPr>
          <w:rFonts w:cstheme="minorHAnsi"/>
          <w:lang w:val="en-GB"/>
        </w:rPr>
      </w:pPr>
      <w:bookmarkStart w:id="20" w:name="_Toc102051377"/>
      <w:r w:rsidRPr="007266F8">
        <w:rPr>
          <w:rFonts w:cstheme="minorHAnsi"/>
          <w:lang w:val="en-GB"/>
        </w:rPr>
        <w:t>Tabl</w:t>
      </w:r>
      <w:r w:rsidR="00443DE8" w:rsidRPr="007266F8">
        <w:rPr>
          <w:rFonts w:cstheme="minorHAnsi"/>
          <w:lang w:val="en-GB"/>
        </w:rPr>
        <w:t>e</w:t>
      </w:r>
      <w:r w:rsidRPr="007266F8">
        <w:rPr>
          <w:rFonts w:cstheme="minorHAnsi"/>
          <w:lang w:val="en-GB"/>
        </w:rPr>
        <w:t xml:space="preserve"> </w:t>
      </w:r>
      <w:r w:rsidR="00D00A6F" w:rsidRPr="007266F8">
        <w:rPr>
          <w:rFonts w:cstheme="minorHAnsi"/>
          <w:lang w:val="en-GB"/>
        </w:rPr>
        <w:fldChar w:fldCharType="begin"/>
      </w:r>
      <w:r w:rsidR="00B56224" w:rsidRPr="007266F8">
        <w:rPr>
          <w:rFonts w:cstheme="minorHAnsi"/>
          <w:lang w:val="en-GB"/>
        </w:rPr>
        <w:instrText xml:space="preserve"> SEQ Tablo \* ARABIC </w:instrText>
      </w:r>
      <w:r w:rsidR="00D00A6F" w:rsidRPr="007266F8">
        <w:rPr>
          <w:rFonts w:cstheme="minorHAnsi"/>
          <w:lang w:val="en-GB"/>
        </w:rPr>
        <w:fldChar w:fldCharType="separate"/>
      </w:r>
      <w:r w:rsidR="00D12D06" w:rsidRPr="007266F8">
        <w:rPr>
          <w:rFonts w:cstheme="minorHAnsi"/>
          <w:noProof/>
          <w:lang w:val="en-GB"/>
        </w:rPr>
        <w:t>10</w:t>
      </w:r>
      <w:r w:rsidR="00D00A6F" w:rsidRPr="007266F8">
        <w:rPr>
          <w:rFonts w:cstheme="minorHAnsi"/>
          <w:lang w:val="en-GB"/>
        </w:rPr>
        <w:fldChar w:fldCharType="end"/>
      </w:r>
      <w:r w:rsidRPr="007266F8">
        <w:rPr>
          <w:rFonts w:cstheme="minorHAnsi"/>
          <w:lang w:val="en-GB"/>
        </w:rPr>
        <w:t xml:space="preserve"> </w:t>
      </w:r>
      <w:r w:rsidR="00443DE8" w:rsidRPr="007266F8">
        <w:rPr>
          <w:rFonts w:cstheme="minorHAnsi"/>
          <w:lang w:val="en-GB"/>
        </w:rPr>
        <w:t>Balance of Month Contracts Position Limits Example</w:t>
      </w:r>
      <w:bookmarkEnd w:id="20"/>
    </w:p>
    <w:p w:rsidR="005E3089" w:rsidRPr="007266F8" w:rsidRDefault="005E3089" w:rsidP="008426E4">
      <w:pPr>
        <w:spacing w:after="0" w:line="240" w:lineRule="auto"/>
        <w:rPr>
          <w:rFonts w:cstheme="minorHAnsi"/>
          <w:lang w:val="en-GB"/>
        </w:rPr>
      </w:pPr>
    </w:p>
    <w:p w:rsidR="00313215" w:rsidRPr="007266F8" w:rsidRDefault="00E014F1" w:rsidP="00313215">
      <w:pPr>
        <w:pStyle w:val="Heading2"/>
        <w:rPr>
          <w:rFonts w:cstheme="majorHAnsi"/>
          <w:lang w:val="en-GB"/>
        </w:rPr>
      </w:pPr>
      <w:bookmarkStart w:id="21" w:name="_Toc102051403"/>
      <w:r w:rsidRPr="007266F8">
        <w:rPr>
          <w:rFonts w:cstheme="majorHAnsi"/>
          <w:lang w:val="en-GB"/>
        </w:rPr>
        <w:t>Determination of Participant Position Limits</w:t>
      </w:r>
      <w:bookmarkEnd w:id="21"/>
      <w:r w:rsidRPr="007266F8">
        <w:rPr>
          <w:rFonts w:cstheme="majorHAnsi"/>
          <w:lang w:val="en-GB"/>
        </w:rPr>
        <w:t xml:space="preserve"> </w:t>
      </w:r>
    </w:p>
    <w:p w:rsidR="00A77E7C" w:rsidRPr="007266F8" w:rsidRDefault="00A310A7" w:rsidP="00794C28">
      <w:pPr>
        <w:ind w:firstLine="708"/>
        <w:jc w:val="both"/>
        <w:rPr>
          <w:rFonts w:cstheme="minorHAnsi"/>
          <w:bCs/>
          <w:lang w:val="en-GB"/>
        </w:rPr>
      </w:pPr>
      <w:r w:rsidRPr="007266F8">
        <w:rPr>
          <w:rFonts w:cstheme="minorHAnsi"/>
          <w:bCs/>
          <w:lang w:val="en-GB"/>
        </w:rPr>
        <w:t xml:space="preserve">Position limits </w:t>
      </w:r>
      <w:r w:rsidR="00794C28">
        <w:rPr>
          <w:rFonts w:cstheme="minorHAnsi"/>
          <w:bCs/>
          <w:lang w:val="en-GB"/>
        </w:rPr>
        <w:t>that will</w:t>
      </w:r>
      <w:r w:rsidRPr="007266F8">
        <w:rPr>
          <w:rFonts w:cstheme="minorHAnsi"/>
          <w:bCs/>
          <w:lang w:val="en-GB"/>
        </w:rPr>
        <w:t xml:space="preserve"> be calculated for the market participants currently trading at organised wholesale electricity markets operated by the Market Operator pursuant to </w:t>
      </w:r>
      <w:r w:rsidR="00A21CF6" w:rsidRPr="007266F8">
        <w:rPr>
          <w:rFonts w:cstheme="minorHAnsi"/>
          <w:bCs/>
          <w:lang w:val="en-GB"/>
        </w:rPr>
        <w:t>the provisions of Article 17 “Calculation of market position limits” of the Power Futures Market Method</w:t>
      </w:r>
      <w:r w:rsidR="00031709" w:rsidRPr="007266F8">
        <w:rPr>
          <w:rFonts w:cstheme="minorHAnsi"/>
          <w:bCs/>
          <w:lang w:val="en-GB"/>
        </w:rPr>
        <w:t xml:space="preserve">: </w:t>
      </w:r>
      <w:r w:rsidRPr="007266F8">
        <w:rPr>
          <w:rFonts w:cstheme="minorHAnsi"/>
          <w:bCs/>
          <w:lang w:val="en-GB"/>
        </w:rPr>
        <w:t xml:space="preserve"> </w:t>
      </w:r>
    </w:p>
    <w:p w:rsidR="00313215" w:rsidRPr="007266F8" w:rsidRDefault="00BB2175" w:rsidP="00CC0C57">
      <w:pPr>
        <w:ind w:firstLine="708"/>
        <w:jc w:val="both"/>
        <w:rPr>
          <w:rFonts w:cstheme="minorHAnsi"/>
          <w:lang w:val="en-GB"/>
        </w:rPr>
      </w:pPr>
      <w:r w:rsidRPr="00B02060">
        <w:rPr>
          <w:rFonts w:cstheme="minorHAnsi"/>
          <w:lang w:val="en-GB"/>
        </w:rPr>
        <w:t xml:space="preserve">Values subject to settlement </w:t>
      </w:r>
      <w:r w:rsidR="00B02060" w:rsidRPr="00B02060">
        <w:rPr>
          <w:rFonts w:cstheme="minorHAnsi"/>
          <w:lang w:val="en-GB"/>
        </w:rPr>
        <w:t xml:space="preserve">of </w:t>
      </w:r>
      <w:r w:rsidRPr="00B02060">
        <w:rPr>
          <w:rFonts w:cstheme="minorHAnsi"/>
          <w:lang w:val="en-GB"/>
        </w:rPr>
        <w:t>the last twelve months</w:t>
      </w:r>
      <w:r w:rsidR="00AE125A" w:rsidRPr="00B02060">
        <w:rPr>
          <w:rFonts w:cstheme="minorHAnsi"/>
          <w:lang w:val="en-GB"/>
        </w:rPr>
        <w:t xml:space="preserve"> </w:t>
      </w:r>
      <w:r w:rsidR="00B02060" w:rsidRPr="00B02060">
        <w:rPr>
          <w:rFonts w:cstheme="minorHAnsi"/>
          <w:lang w:val="en-GB"/>
        </w:rPr>
        <w:t xml:space="preserve">with finalized settlements </w:t>
      </w:r>
      <w:r w:rsidRPr="00B02060">
        <w:rPr>
          <w:rFonts w:cstheme="minorHAnsi"/>
          <w:lang w:val="en-GB"/>
        </w:rPr>
        <w:t xml:space="preserve">prior </w:t>
      </w:r>
      <w:r w:rsidR="00AE125A" w:rsidRPr="00B02060">
        <w:rPr>
          <w:rFonts w:cstheme="minorHAnsi"/>
          <w:lang w:val="en-GB"/>
        </w:rPr>
        <w:t xml:space="preserve">to the </w:t>
      </w:r>
      <w:r w:rsidR="004F3884" w:rsidRPr="00B02060">
        <w:rPr>
          <w:rFonts w:cstheme="minorHAnsi"/>
          <w:lang w:val="en-GB"/>
        </w:rPr>
        <w:t>date</w:t>
      </w:r>
      <w:r w:rsidR="00AE125A" w:rsidRPr="00B02060">
        <w:rPr>
          <w:rFonts w:cstheme="minorHAnsi"/>
          <w:lang w:val="en-GB"/>
        </w:rPr>
        <w:t xml:space="preserve"> of calculation shall be taken into accoun</w:t>
      </w:r>
      <w:r w:rsidR="00AA09AF" w:rsidRPr="00B02060">
        <w:rPr>
          <w:rFonts w:cstheme="minorHAnsi"/>
          <w:lang w:val="en-GB"/>
        </w:rPr>
        <w:t>t</w:t>
      </w:r>
      <w:r w:rsidR="0040025D" w:rsidRPr="00B02060">
        <w:rPr>
          <w:rFonts w:cstheme="minorHAnsi"/>
          <w:lang w:val="en-GB"/>
        </w:rPr>
        <w:t>.</w:t>
      </w:r>
      <w:r w:rsidR="00313215" w:rsidRPr="00B02060">
        <w:rPr>
          <w:rFonts w:cstheme="minorHAnsi"/>
          <w:lang w:val="en-GB"/>
        </w:rPr>
        <w:t xml:space="preserve"> </w:t>
      </w:r>
      <w:r w:rsidR="00D60F92" w:rsidRPr="00B02060">
        <w:rPr>
          <w:rFonts w:cstheme="minorHAnsi"/>
          <w:lang w:val="en-GB"/>
        </w:rPr>
        <w:t>Presence in markets rate shall be calculated as follows</w:t>
      </w:r>
      <w:r w:rsidR="00D60F92" w:rsidRPr="007266F8">
        <w:rPr>
          <w:rFonts w:cstheme="minorHAnsi"/>
          <w:lang w:val="en-GB"/>
        </w:rPr>
        <w:t xml:space="preserve">: total of </w:t>
      </w:r>
      <w:r w:rsidR="004F3884" w:rsidRPr="007266F8">
        <w:rPr>
          <w:rFonts w:cstheme="minorHAnsi"/>
          <w:lang w:val="en-GB"/>
        </w:rPr>
        <w:t>Day-ahead Market (DAM) Buying Quantity, Intraday Market (IDM) Buying Quantity, Power Futures Market (PFM) Buying Quantity + Bilateral Contract Buying quantity, Finalized Down Regu</w:t>
      </w:r>
      <w:r w:rsidR="006A358D">
        <w:rPr>
          <w:rFonts w:cstheme="minorHAnsi"/>
          <w:lang w:val="en-GB"/>
        </w:rPr>
        <w:t>lation Instruction Quantity (FDR</w:t>
      </w:r>
      <w:r w:rsidR="004F3884" w:rsidRPr="007266F8">
        <w:rPr>
          <w:rFonts w:cstheme="minorHAnsi"/>
          <w:lang w:val="en-GB"/>
        </w:rPr>
        <w:t>IQ), negative energy imbalance quantity (</w:t>
      </w:r>
      <w:r w:rsidR="006A358D" w:rsidRPr="007266F8">
        <w:rPr>
          <w:rFonts w:cstheme="minorHAnsi"/>
          <w:lang w:val="en-GB"/>
        </w:rPr>
        <w:t>N</w:t>
      </w:r>
      <w:r w:rsidR="004F3884" w:rsidRPr="007266F8">
        <w:rPr>
          <w:rFonts w:cstheme="minorHAnsi"/>
          <w:lang w:val="en-GB"/>
        </w:rPr>
        <w:t xml:space="preserve">EIQ) and </w:t>
      </w:r>
      <w:r w:rsidR="006A358D">
        <w:rPr>
          <w:rFonts w:cstheme="minorHAnsi"/>
          <w:lang w:val="en-GB"/>
        </w:rPr>
        <w:t>Injection</w:t>
      </w:r>
      <w:r w:rsidR="004F3884" w:rsidRPr="007266F8">
        <w:rPr>
          <w:rFonts w:cstheme="minorHAnsi"/>
          <w:lang w:val="en-GB"/>
        </w:rPr>
        <w:t xml:space="preserve"> Quantity Subject to Settlement (</w:t>
      </w:r>
      <w:r w:rsidR="006A358D">
        <w:rPr>
          <w:rFonts w:cstheme="minorHAnsi"/>
          <w:lang w:val="en-GB"/>
        </w:rPr>
        <w:t>I</w:t>
      </w:r>
      <w:r w:rsidR="004F3884" w:rsidRPr="007266F8">
        <w:rPr>
          <w:rFonts w:cstheme="minorHAnsi"/>
          <w:lang w:val="en-GB"/>
        </w:rPr>
        <w:t>QS</w:t>
      </w:r>
      <w:r w:rsidR="006A358D">
        <w:rPr>
          <w:rFonts w:cstheme="minorHAnsi"/>
          <w:lang w:val="en-GB"/>
        </w:rPr>
        <w:t>t</w:t>
      </w:r>
      <w:r w:rsidR="004F3884" w:rsidRPr="007266F8">
        <w:rPr>
          <w:rFonts w:cstheme="minorHAnsi"/>
          <w:lang w:val="en-GB"/>
        </w:rPr>
        <w:t>S)</w:t>
      </w:r>
      <w:r w:rsidR="00D60F92" w:rsidRPr="007266F8">
        <w:rPr>
          <w:rFonts w:cstheme="minorHAnsi"/>
          <w:lang w:val="en-GB"/>
        </w:rPr>
        <w:t xml:space="preserve"> of each market participant shall be divided into all market participants’ total trades in the same direction.</w:t>
      </w:r>
      <w:r w:rsidR="00313215" w:rsidRPr="007266F8">
        <w:rPr>
          <w:rFonts w:cstheme="minorHAnsi"/>
          <w:lang w:val="en-GB"/>
        </w:rPr>
        <w:t xml:space="preserve"> </w:t>
      </w:r>
      <w:r w:rsidR="00F5642D" w:rsidRPr="007266F8">
        <w:rPr>
          <w:rFonts w:cstheme="minorHAnsi"/>
          <w:lang w:val="en-GB"/>
        </w:rPr>
        <w:t>Participant market position limits shall be calculated as follows: participants’ presence in the markets rates shall be multiplied by the total market position limits. Values calculated as participant position limits shall be rounded to the nearest whole number value</w:t>
      </w:r>
      <w:r w:rsidR="00313215" w:rsidRPr="007266F8">
        <w:rPr>
          <w:rFonts w:cstheme="minorHAnsi"/>
          <w:lang w:val="en-GB"/>
        </w:rPr>
        <w:t>.</w:t>
      </w:r>
    </w:p>
    <w:p w:rsidR="008F13ED" w:rsidRPr="007266F8" w:rsidRDefault="00C44565" w:rsidP="00E544AD">
      <w:pPr>
        <w:jc w:val="both"/>
        <w:rPr>
          <w:rFonts w:eastAsiaTheme="minorEastAsia" w:cstheme="minorHAnsi"/>
          <w:sz w:val="24"/>
          <w:szCs w:val="24"/>
          <w:lang w:val="en-GB"/>
        </w:rPr>
      </w:pPr>
      <m:oMathPara>
        <m:oMathParaPr>
          <m:jc m:val="center"/>
        </m:oMathPara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PL</m:t>
              </m:r>
            </m:e>
            <m:sub>
              <m:r>
                <w:rPr>
                  <w:rFonts w:ascii="Cambria Math" w:eastAsia="Calibri" w:hAnsi="Cambria Math" w:cs="Times New Roman"/>
                  <w:sz w:val="24"/>
                  <w:szCs w:val="24"/>
                  <w:lang w:val="en-GB"/>
                </w:rPr>
                <m:t>p</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MPL</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PLR</m:t>
              </m:r>
            </m:e>
            <m:sub>
              <m:r>
                <w:rPr>
                  <w:rFonts w:ascii="Cambria Math" w:eastAsia="Calibri" w:hAnsi="Cambria Math" w:cs="Times New Roman"/>
                  <w:sz w:val="24"/>
                  <w:szCs w:val="24"/>
                  <w:lang w:val="en-GB"/>
                </w:rPr>
                <m:t>p</m:t>
              </m:r>
            </m:sub>
          </m:sSub>
          <m:r>
            <w:rPr>
              <w:rFonts w:ascii="Cambria Math" w:eastAsia="Calibri" w:hAnsi="Cambria Math" w:cs="Times New Roman"/>
              <w:sz w:val="24"/>
              <w:szCs w:val="24"/>
              <w:lang w:val="en-GB"/>
            </w:rPr>
            <m:t xml:space="preserve">                                                                                                   </m:t>
          </m:r>
        </m:oMath>
      </m:oMathPara>
    </w:p>
    <w:p w:rsidR="00E544AD" w:rsidRPr="007266F8" w:rsidRDefault="00E544AD" w:rsidP="00E544AD">
      <w:pPr>
        <w:spacing w:after="0" w:line="240" w:lineRule="auto"/>
        <w:ind w:left="709"/>
        <w:jc w:val="both"/>
        <w:rPr>
          <w:rFonts w:ascii="Times New Roman" w:eastAsia="Calibri" w:hAnsi="Times New Roman" w:cs="Times New Roman"/>
          <w:sz w:val="24"/>
          <w:szCs w:val="24"/>
          <w:lang w:val="en-GB"/>
        </w:rPr>
      </w:pPr>
      <w:r w:rsidRPr="007266F8">
        <w:rPr>
          <w:rFonts w:eastAsiaTheme="minorEastAsia" w:cstheme="minorHAnsi"/>
          <w:sz w:val="24"/>
          <w:szCs w:val="24"/>
          <w:lang w:val="en-GB"/>
        </w:rPr>
        <w:t xml:space="preserve">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PLR</m:t>
            </m:r>
          </m:e>
          <m:sub>
            <m:r>
              <w:rPr>
                <w:rFonts w:ascii="Cambria Math" w:eastAsia="Calibri" w:hAnsi="Cambria Math" w:cs="Times New Roman"/>
                <w:sz w:val="24"/>
                <w:szCs w:val="24"/>
                <w:lang w:val="en-GB"/>
              </w:rPr>
              <m:t>p</m:t>
            </m:r>
          </m:sub>
        </m:sSub>
        <m:r>
          <w:rPr>
            <w:rFonts w:ascii="Cambria Math" w:eastAsia="Calibri" w:hAnsi="Cambria Math" w:cs="Times New Roman"/>
            <w:sz w:val="24"/>
            <w:szCs w:val="24"/>
            <w:lang w:val="en-GB"/>
          </w:rPr>
          <m:t>=</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MTQ</m:t>
                </m:r>
              </m:e>
              <m:sub>
                <m:r>
                  <w:rPr>
                    <w:rFonts w:ascii="Cambria Math" w:eastAsia="Calibri" w:hAnsi="Cambria Math" w:cs="Times New Roman"/>
                    <w:sz w:val="24"/>
                    <w:szCs w:val="24"/>
                    <w:lang w:val="en-GB"/>
                  </w:rPr>
                  <m:t>p</m:t>
                </m:r>
              </m:sub>
            </m:sSub>
          </m:num>
          <m:den>
            <m:r>
              <w:rPr>
                <w:rFonts w:ascii="Cambria Math" w:eastAsia="Calibri" w:hAnsi="Cambria Math" w:cs="Times New Roman"/>
                <w:sz w:val="24"/>
                <w:szCs w:val="24"/>
                <w:lang w:val="en-GB"/>
              </w:rPr>
              <m:t>AMTQ</m:t>
            </m:r>
          </m:den>
        </m:f>
        <m:r>
          <w:rPr>
            <w:rFonts w:ascii="Cambria Math" w:eastAsia="Calibri" w:hAnsi="Cambria Math" w:cs="Times New Roman"/>
            <w:sz w:val="24"/>
            <w:szCs w:val="24"/>
            <w:lang w:val="en-GB"/>
          </w:rPr>
          <m:t xml:space="preserve">                                                                                                      </m:t>
        </m:r>
      </m:oMath>
    </w:p>
    <w:p w:rsidR="00E544AD" w:rsidRPr="007266F8" w:rsidRDefault="00E544AD" w:rsidP="00E544AD">
      <w:pPr>
        <w:spacing w:after="0" w:line="240" w:lineRule="auto"/>
        <w:ind w:left="709"/>
        <w:rPr>
          <w:rFonts w:ascii="Times New Roman" w:eastAsia="Calibri" w:hAnsi="Times New Roman" w:cs="Times New Roman"/>
          <w:sz w:val="24"/>
          <w:szCs w:val="24"/>
          <w:lang w:val="en-GB"/>
        </w:rPr>
      </w:pPr>
    </w:p>
    <w:p w:rsidR="00E544AD" w:rsidRPr="007266F8" w:rsidRDefault="00E544AD" w:rsidP="00E97929">
      <w:pPr>
        <w:spacing w:after="0" w:line="240" w:lineRule="auto"/>
        <w:ind w:left="708"/>
        <w:rPr>
          <w:rFonts w:ascii="Times New Roman" w:eastAsia="Calibri" w:hAnsi="Times New Roman" w:cs="Times New Roman"/>
          <w:sz w:val="24"/>
          <w:szCs w:val="24"/>
          <w:lang w:val="en-GB"/>
        </w:rPr>
      </w:pPr>
      <m:oMathPara>
        <m:oMathParaPr>
          <m:jc m:val="left"/>
        </m:oMathParaPr>
        <m:oMath>
          <m:r>
            <w:rPr>
              <w:rFonts w:ascii="Cambria Math" w:eastAsia="Calibri" w:hAnsi="Cambria Math" w:cs="Times New Roman"/>
              <w:sz w:val="24"/>
              <w:szCs w:val="24"/>
              <w:lang w:val="en-GB"/>
            </w:rPr>
            <m:t xml:space="preserve">  AMTQ=</m:t>
          </m:r>
          <m:nary>
            <m:naryPr>
              <m:chr m:val="∑"/>
              <m:limLoc m:val="undOvr"/>
              <m:ctrlPr>
                <w:rPr>
                  <w:rFonts w:ascii="Cambria Math" w:eastAsia="Calibri" w:hAnsi="Cambria Math" w:cs="Times New Roman"/>
                  <w:i/>
                  <w:sz w:val="24"/>
                  <w:szCs w:val="24"/>
                  <w:lang w:val="en-GB"/>
                </w:rPr>
              </m:ctrlPr>
            </m:naryPr>
            <m:sub>
              <m:r>
                <w:rPr>
                  <w:rFonts w:ascii="Cambria Math" w:eastAsia="Calibri" w:hAnsi="Cambria Math" w:cs="Times New Roman"/>
                  <w:sz w:val="24"/>
                  <w:szCs w:val="24"/>
                  <w:lang w:val="en-GB"/>
                </w:rPr>
                <m:t>p=1</m:t>
              </m:r>
            </m:sub>
            <m:sup>
              <m:r>
                <w:rPr>
                  <w:rFonts w:ascii="Cambria Math" w:eastAsia="Calibri" w:hAnsi="Cambria Math" w:cs="Times New Roman"/>
                  <w:sz w:val="24"/>
                  <w:szCs w:val="24"/>
                  <w:lang w:val="en-GB"/>
                </w:rPr>
                <m:t>n</m:t>
              </m:r>
            </m:sup>
            <m:e>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MTQ</m:t>
                  </m:r>
                </m:e>
                <m:sub>
                  <m:r>
                    <w:rPr>
                      <w:rFonts w:ascii="Cambria Math" w:eastAsia="Calibri" w:hAnsi="Cambria Math" w:cs="Times New Roman"/>
                      <w:sz w:val="24"/>
                      <w:szCs w:val="24"/>
                      <w:lang w:val="en-GB"/>
                    </w:rPr>
                    <m:t>p</m:t>
                  </m:r>
                </m:sub>
              </m:sSub>
            </m:e>
          </m:nary>
          <m:r>
            <w:rPr>
              <w:rFonts w:ascii="Cambria Math" w:eastAsia="Calibri" w:hAnsi="Cambria Math" w:cs="Times New Roman"/>
              <w:sz w:val="24"/>
              <w:szCs w:val="24"/>
              <w:lang w:val="en-GB"/>
            </w:rPr>
            <m:t xml:space="preserve">                                                                                          </m:t>
          </m:r>
        </m:oMath>
      </m:oMathPara>
    </w:p>
    <w:p w:rsidR="00E544AD" w:rsidRPr="007266F8" w:rsidRDefault="00E544AD" w:rsidP="00E544AD">
      <w:pPr>
        <w:spacing w:after="0" w:line="240" w:lineRule="auto"/>
        <w:ind w:left="709"/>
        <w:rPr>
          <w:rFonts w:ascii="Times New Roman" w:eastAsia="Calibri" w:hAnsi="Times New Roman" w:cs="Times New Roman"/>
          <w:sz w:val="24"/>
          <w:szCs w:val="24"/>
          <w:lang w:val="en-GB"/>
        </w:rPr>
      </w:pPr>
    </w:p>
    <w:p w:rsidR="00777B7C" w:rsidRPr="007266F8" w:rsidRDefault="00C44565" w:rsidP="001253AF">
      <w:pPr>
        <w:ind w:firstLine="708"/>
        <w:jc w:val="both"/>
        <w:rPr>
          <w:rFonts w:cstheme="minorHAnsi"/>
          <w:lang w:val="en-GB"/>
        </w:rPr>
      </w:pPr>
      <m:oMathPara>
        <m:oMath>
          <m:sSub>
            <m:sSubPr>
              <m:ctrlPr>
                <w:rPr>
                  <w:rFonts w:ascii="Cambria Math" w:eastAsia="Calibri" w:hAnsi="Cambria Math" w:cs="Times New Roman"/>
                  <w:i/>
                  <w:szCs w:val="24"/>
                  <w:lang w:val="en-GB"/>
                </w:rPr>
              </m:ctrlPr>
            </m:sSubPr>
            <m:e>
              <m:r>
                <w:rPr>
                  <w:rFonts w:ascii="Cambria Math" w:eastAsia="Calibri" w:hAnsi="Cambria Math" w:cs="Times New Roman"/>
                  <w:szCs w:val="24"/>
                  <w:lang w:val="en-GB"/>
                </w:rPr>
                <m:t xml:space="preserve">     MTQ</m:t>
              </m:r>
            </m:e>
            <m:sub>
              <m:r>
                <w:rPr>
                  <w:rFonts w:ascii="Cambria Math" w:eastAsia="Calibri" w:hAnsi="Cambria Math" w:cs="Times New Roman"/>
                  <w:szCs w:val="24"/>
                  <w:lang w:val="en-GB"/>
                </w:rPr>
                <m:t>p</m:t>
              </m:r>
            </m:sub>
          </m:sSub>
          <m:r>
            <w:rPr>
              <w:rFonts w:ascii="Cambria Math" w:eastAsia="Calibri" w:hAnsi="Cambria Math" w:cs="Times New Roman"/>
              <w:szCs w:val="24"/>
              <w:lang w:val="en-GB"/>
            </w:rPr>
            <m:t>=</m:t>
          </m:r>
          <m:sSub>
            <m:sSubPr>
              <m:ctrlPr>
                <w:rPr>
                  <w:rFonts w:ascii="Cambria Math" w:eastAsia="Calibri" w:hAnsi="Cambria Math" w:cs="Times New Roman"/>
                  <w:i/>
                  <w:szCs w:val="24"/>
                  <w:lang w:val="en-GB"/>
                </w:rPr>
              </m:ctrlPr>
            </m:sSubPr>
            <m:e>
              <m:r>
                <w:rPr>
                  <w:rFonts w:ascii="Cambria Math" w:eastAsia="Calibri" w:hAnsi="Cambria Math" w:cs="Times New Roman"/>
                  <w:szCs w:val="24"/>
                  <w:lang w:val="en-GB"/>
                </w:rPr>
                <m:t>DAMBQ</m:t>
              </m:r>
            </m:e>
            <m:sub>
              <m:r>
                <w:rPr>
                  <w:rFonts w:ascii="Cambria Math" w:eastAsia="Calibri" w:hAnsi="Cambria Math" w:cs="Times New Roman"/>
                  <w:szCs w:val="24"/>
                  <w:lang w:val="en-GB"/>
                </w:rPr>
                <m:t>p</m:t>
              </m:r>
            </m:sub>
          </m:sSub>
          <m:r>
            <w:rPr>
              <w:rFonts w:ascii="Cambria Math" w:eastAsia="Calibri" w:hAnsi="Cambria Math" w:cs="Times New Roman"/>
              <w:szCs w:val="24"/>
              <w:lang w:val="en-GB"/>
            </w:rPr>
            <m:t>+</m:t>
          </m:r>
          <m:sSub>
            <m:sSubPr>
              <m:ctrlPr>
                <w:rPr>
                  <w:rFonts w:ascii="Cambria Math" w:eastAsia="Calibri" w:hAnsi="Cambria Math" w:cs="Times New Roman"/>
                  <w:i/>
                  <w:szCs w:val="24"/>
                  <w:lang w:val="en-GB"/>
                </w:rPr>
              </m:ctrlPr>
            </m:sSubPr>
            <m:e>
              <m:r>
                <w:rPr>
                  <w:rFonts w:ascii="Cambria Math" w:eastAsia="Calibri" w:hAnsi="Cambria Math" w:cs="Times New Roman"/>
                  <w:szCs w:val="24"/>
                  <w:lang w:val="en-GB"/>
                </w:rPr>
                <m:t>IDMBQ</m:t>
              </m:r>
            </m:e>
            <m:sub>
              <m:r>
                <w:rPr>
                  <w:rFonts w:ascii="Cambria Math" w:eastAsia="Calibri" w:hAnsi="Cambria Math" w:cs="Times New Roman"/>
                  <w:szCs w:val="24"/>
                  <w:lang w:val="en-GB"/>
                </w:rPr>
                <m:t>p</m:t>
              </m:r>
            </m:sub>
          </m:sSub>
          <m:r>
            <w:rPr>
              <w:rFonts w:ascii="Cambria Math" w:eastAsia="Calibri" w:hAnsi="Cambria Math" w:cs="Times New Roman"/>
              <w:szCs w:val="24"/>
              <w:lang w:val="en-GB"/>
            </w:rPr>
            <m:t>+</m:t>
          </m:r>
          <m:sSub>
            <m:sSubPr>
              <m:ctrlPr>
                <w:rPr>
                  <w:rFonts w:ascii="Cambria Math" w:eastAsia="Calibri" w:hAnsi="Cambria Math" w:cs="Times New Roman"/>
                  <w:i/>
                  <w:szCs w:val="24"/>
                  <w:lang w:val="en-GB"/>
                </w:rPr>
              </m:ctrlPr>
            </m:sSubPr>
            <m:e>
              <m:r>
                <w:rPr>
                  <w:rFonts w:ascii="Cambria Math" w:eastAsia="Calibri" w:hAnsi="Cambria Math" w:cs="Times New Roman"/>
                  <w:szCs w:val="24"/>
                  <w:lang w:val="en-GB"/>
                </w:rPr>
                <m:t>BCBQ</m:t>
              </m:r>
            </m:e>
            <m:sub>
              <m:r>
                <w:rPr>
                  <w:rFonts w:ascii="Cambria Math" w:eastAsia="Calibri" w:hAnsi="Cambria Math" w:cs="Times New Roman"/>
                  <w:szCs w:val="24"/>
                  <w:lang w:val="en-GB"/>
                </w:rPr>
                <m:t>p</m:t>
              </m:r>
            </m:sub>
          </m:sSub>
          <m:r>
            <w:rPr>
              <w:rFonts w:ascii="Cambria Math" w:eastAsia="Calibri" w:hAnsi="Cambria Math" w:cs="Times New Roman"/>
              <w:szCs w:val="24"/>
              <w:lang w:val="en-GB"/>
            </w:rPr>
            <m:t>+</m:t>
          </m:r>
          <m:sSub>
            <m:sSubPr>
              <m:ctrlPr>
                <w:rPr>
                  <w:rFonts w:ascii="Cambria Math" w:eastAsia="Calibri" w:hAnsi="Cambria Math" w:cs="Times New Roman"/>
                  <w:i/>
                  <w:szCs w:val="24"/>
                  <w:lang w:val="en-GB"/>
                </w:rPr>
              </m:ctrlPr>
            </m:sSubPr>
            <m:e>
              <m:r>
                <w:rPr>
                  <w:rFonts w:ascii="Cambria Math" w:eastAsia="Calibri" w:hAnsi="Cambria Math" w:cs="Times New Roman"/>
                  <w:szCs w:val="24"/>
                  <w:lang w:val="en-GB"/>
                </w:rPr>
                <m:t>I</m:t>
              </m:r>
              <m:r>
                <w:rPr>
                  <w:rFonts w:ascii="Cambria Math" w:eastAsia="Calibri" w:hAnsi="Cambria Math" w:cs="Times New Roman"/>
                  <w:szCs w:val="24"/>
                  <w:lang w:val="en-GB"/>
                </w:rPr>
                <m:t>QS</m:t>
              </m:r>
              <m:r>
                <w:rPr>
                  <w:rFonts w:ascii="Cambria Math" w:eastAsia="Calibri" w:hAnsi="Cambria Math" w:cs="Times New Roman"/>
                  <w:szCs w:val="24"/>
                  <w:lang w:val="en-GB"/>
                </w:rPr>
                <m:t>tS</m:t>
              </m:r>
            </m:e>
            <m:sub>
              <m:r>
                <w:rPr>
                  <w:rFonts w:ascii="Cambria Math" w:eastAsia="Calibri" w:hAnsi="Cambria Math" w:cs="Times New Roman"/>
                  <w:szCs w:val="24"/>
                  <w:lang w:val="en-GB"/>
                </w:rPr>
                <m:t>p</m:t>
              </m:r>
            </m:sub>
          </m:sSub>
          <m:r>
            <w:rPr>
              <w:rFonts w:ascii="Cambria Math" w:eastAsia="Calibri" w:hAnsi="Cambria Math" w:cs="Times New Roman"/>
              <w:szCs w:val="24"/>
              <w:lang w:val="en-GB"/>
            </w:rPr>
            <m:t>+</m:t>
          </m:r>
          <m:sSub>
            <m:sSubPr>
              <m:ctrlPr>
                <w:rPr>
                  <w:rFonts w:ascii="Cambria Math" w:eastAsia="Calibri" w:hAnsi="Cambria Math" w:cs="Times New Roman"/>
                  <w:i/>
                  <w:szCs w:val="24"/>
                  <w:lang w:val="en-GB"/>
                </w:rPr>
              </m:ctrlPr>
            </m:sSubPr>
            <m:e>
              <m:r>
                <w:rPr>
                  <w:rFonts w:ascii="Cambria Math" w:eastAsia="Calibri" w:hAnsi="Cambria Math" w:cs="Times New Roman"/>
                  <w:szCs w:val="24"/>
                  <w:lang w:val="en-GB"/>
                </w:rPr>
                <m:t>PFMBQ</m:t>
              </m:r>
            </m:e>
            <m:sub>
              <m:r>
                <w:rPr>
                  <w:rFonts w:ascii="Cambria Math" w:eastAsia="Calibri" w:hAnsi="Cambria Math" w:cs="Times New Roman"/>
                  <w:szCs w:val="24"/>
                  <w:lang w:val="en-GB"/>
                </w:rPr>
                <m:t>p</m:t>
              </m:r>
            </m:sub>
          </m:sSub>
          <m:r>
            <w:rPr>
              <w:rFonts w:ascii="Cambria Math" w:eastAsia="Calibri" w:hAnsi="Cambria Math" w:cs="Times New Roman"/>
              <w:szCs w:val="24"/>
              <w:lang w:val="en-GB"/>
            </w:rPr>
            <m:t xml:space="preserve">+ </m:t>
          </m:r>
          <m:sSub>
            <m:sSubPr>
              <m:ctrlPr>
                <w:rPr>
                  <w:rFonts w:ascii="Cambria Math" w:eastAsia="Calibri" w:hAnsi="Cambria Math" w:cs="Times New Roman"/>
                  <w:i/>
                  <w:szCs w:val="24"/>
                  <w:lang w:val="en-GB"/>
                </w:rPr>
              </m:ctrlPr>
            </m:sSubPr>
            <m:e>
              <m:r>
                <w:rPr>
                  <w:rFonts w:ascii="Cambria Math" w:eastAsia="Calibri" w:hAnsi="Cambria Math" w:cs="Times New Roman"/>
                  <w:szCs w:val="24"/>
                  <w:lang w:val="en-GB"/>
                </w:rPr>
                <m:t>FDR</m:t>
              </m:r>
              <m:r>
                <w:rPr>
                  <w:rFonts w:ascii="Cambria Math" w:eastAsia="Calibri" w:hAnsi="Cambria Math" w:cs="Times New Roman"/>
                  <w:szCs w:val="24"/>
                  <w:lang w:val="en-GB"/>
                </w:rPr>
                <m:t>IQ</m:t>
              </m:r>
            </m:e>
            <m:sub>
              <m:r>
                <w:rPr>
                  <w:rFonts w:ascii="Cambria Math" w:eastAsia="Calibri" w:hAnsi="Cambria Math" w:cs="Times New Roman"/>
                  <w:szCs w:val="24"/>
                  <w:lang w:val="en-GB"/>
                </w:rPr>
                <m:t>p</m:t>
              </m:r>
            </m:sub>
          </m:sSub>
          <m:r>
            <w:rPr>
              <w:rFonts w:ascii="Cambria Math" w:eastAsia="Calibri" w:hAnsi="Cambria Math" w:cs="Times New Roman"/>
              <w:szCs w:val="24"/>
              <w:lang w:val="en-GB"/>
            </w:rPr>
            <m:t>+</m:t>
          </m:r>
          <m:r>
            <w:rPr>
              <w:rFonts w:ascii="Cambria Math" w:eastAsia="Calibri" w:hAnsi="Cambria Math" w:cs="Times New Roman"/>
              <w:szCs w:val="24"/>
              <w:lang w:val="en-GB"/>
            </w:rPr>
            <m:t>N</m:t>
          </m:r>
          <m:sSub>
            <m:sSubPr>
              <m:ctrlPr>
                <w:rPr>
                  <w:rFonts w:ascii="Cambria Math" w:eastAsia="Calibri" w:hAnsi="Cambria Math" w:cs="Times New Roman"/>
                  <w:i/>
                  <w:szCs w:val="24"/>
                  <w:lang w:val="en-GB"/>
                </w:rPr>
              </m:ctrlPr>
            </m:sSubPr>
            <m:e>
              <m:r>
                <w:rPr>
                  <w:rFonts w:ascii="Cambria Math" w:eastAsia="Calibri" w:hAnsi="Cambria Math" w:cs="Times New Roman"/>
                  <w:szCs w:val="24"/>
                  <w:lang w:val="en-GB"/>
                </w:rPr>
                <m:t>EIQ</m:t>
              </m:r>
            </m:e>
            <m:sub>
              <m:r>
                <w:rPr>
                  <w:rFonts w:ascii="Cambria Math" w:eastAsia="Calibri" w:hAnsi="Cambria Math" w:cs="Times New Roman"/>
                  <w:szCs w:val="24"/>
                  <w:lang w:val="en-GB"/>
                </w:rPr>
                <m:t>p</m:t>
              </m:r>
            </m:sub>
          </m:sSub>
        </m:oMath>
      </m:oMathPara>
    </w:p>
    <w:p w:rsidR="00777B7C" w:rsidRPr="007266F8" w:rsidRDefault="00777B7C" w:rsidP="00777B7C">
      <w:pPr>
        <w:spacing w:after="0" w:line="240" w:lineRule="auto"/>
        <w:ind w:firstLine="709"/>
        <w:jc w:val="both"/>
        <w:rPr>
          <w:rFonts w:ascii="Times New Roman" w:eastAsia="Calibri" w:hAnsi="Times New Roman" w:cs="Times New Roman"/>
          <w:sz w:val="24"/>
          <w:szCs w:val="24"/>
          <w:lang w:val="en-GB"/>
        </w:rPr>
      </w:pPr>
    </w:p>
    <w:p w:rsidR="00313215" w:rsidRPr="007266F8" w:rsidRDefault="001253AF" w:rsidP="001253AF">
      <w:pPr>
        <w:pStyle w:val="Heading4"/>
        <w:rPr>
          <w:rFonts w:cstheme="majorHAnsi"/>
          <w:lang w:val="en-GB"/>
        </w:rPr>
      </w:pPr>
      <w:r w:rsidRPr="007266F8">
        <w:rPr>
          <w:rFonts w:cstheme="majorHAnsi"/>
          <w:lang w:val="en-GB"/>
        </w:rPr>
        <w:t xml:space="preserve">Example Scenario </w:t>
      </w:r>
      <w:r w:rsidR="00313215" w:rsidRPr="007266F8">
        <w:rPr>
          <w:rFonts w:cstheme="majorHAnsi"/>
          <w:lang w:val="en-GB"/>
        </w:rPr>
        <w:t xml:space="preserve">1 (X </w:t>
      </w:r>
      <w:r w:rsidRPr="007266F8">
        <w:rPr>
          <w:rFonts w:cstheme="majorHAnsi"/>
          <w:lang w:val="en-GB"/>
        </w:rPr>
        <w:t>ENERGY INC.</w:t>
      </w:r>
      <w:r w:rsidR="00313215" w:rsidRPr="007266F8">
        <w:rPr>
          <w:rFonts w:cstheme="majorHAnsi"/>
          <w:lang w:val="en-GB"/>
        </w:rPr>
        <w:t>)</w:t>
      </w:r>
    </w:p>
    <w:p w:rsidR="006B298C" w:rsidRPr="007266F8" w:rsidRDefault="001253AF" w:rsidP="001253AF">
      <w:pPr>
        <w:ind w:firstLine="708"/>
        <w:jc w:val="both"/>
        <w:rPr>
          <w:rFonts w:cstheme="minorHAnsi"/>
          <w:lang w:val="en-GB"/>
        </w:rPr>
      </w:pPr>
      <w:r w:rsidRPr="007266F8">
        <w:rPr>
          <w:rFonts w:cstheme="minorHAnsi"/>
          <w:lang w:val="en-GB"/>
        </w:rPr>
        <w:t xml:space="preserve">Presence in market rate of the X Energy Inc. which </w:t>
      </w:r>
      <w:r w:rsidR="005E00D2">
        <w:rPr>
          <w:rFonts w:cstheme="minorHAnsi"/>
          <w:lang w:val="en-GB"/>
        </w:rPr>
        <w:t xml:space="preserve">has not </w:t>
      </w:r>
      <w:r w:rsidRPr="007266F8">
        <w:rPr>
          <w:rFonts w:cstheme="minorHAnsi"/>
          <w:lang w:val="en-GB"/>
        </w:rPr>
        <w:t xml:space="preserve">previously carried out </w:t>
      </w:r>
      <w:r w:rsidR="005E00D2">
        <w:rPr>
          <w:rFonts w:cstheme="minorHAnsi"/>
          <w:lang w:val="en-GB"/>
        </w:rPr>
        <w:t xml:space="preserve">any </w:t>
      </w:r>
      <w:r w:rsidRPr="007266F8">
        <w:rPr>
          <w:rFonts w:cstheme="minorHAnsi"/>
          <w:lang w:val="en-GB"/>
        </w:rPr>
        <w:t xml:space="preserve">trade at organised markets operated by the market operator. </w:t>
      </w:r>
    </w:p>
    <w:tbl>
      <w:tblPr>
        <w:tblW w:w="956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left w:w="70" w:type="dxa"/>
          <w:right w:w="70" w:type="dxa"/>
        </w:tblCellMar>
        <w:tblLook w:val="04A0" w:firstRow="1" w:lastRow="0" w:firstColumn="1" w:lastColumn="0" w:noHBand="0" w:noVBand="1"/>
      </w:tblPr>
      <w:tblGrid>
        <w:gridCol w:w="5098"/>
        <w:gridCol w:w="4463"/>
      </w:tblGrid>
      <w:tr w:rsidR="00777B7C" w:rsidRPr="007266F8" w:rsidTr="00777B7C">
        <w:tc>
          <w:tcPr>
            <w:tcW w:w="9561" w:type="dxa"/>
            <w:gridSpan w:val="2"/>
            <w:shd w:val="clear" w:color="auto" w:fill="DEEAF6" w:themeFill="accent1" w:themeFillTint="33"/>
            <w:noWrap/>
            <w:vAlign w:val="bottom"/>
            <w:hideMark/>
          </w:tcPr>
          <w:p w:rsidR="00777B7C" w:rsidRPr="007266F8" w:rsidRDefault="00777B7C" w:rsidP="001253AF">
            <w:pPr>
              <w:spacing w:after="0" w:line="240" w:lineRule="auto"/>
              <w:jc w:val="center"/>
              <w:rPr>
                <w:rFonts w:ascii="Calibri" w:eastAsia="Times New Roman" w:hAnsi="Calibri" w:cs="Calibri"/>
                <w:b/>
                <w:bCs/>
                <w:color w:val="000000"/>
                <w:lang w:val="en-GB" w:eastAsia="tr-TR"/>
              </w:rPr>
            </w:pPr>
            <w:r w:rsidRPr="007266F8">
              <w:rPr>
                <w:rFonts w:ascii="Calibri" w:eastAsia="Times New Roman" w:hAnsi="Calibri" w:cs="Calibri"/>
                <w:b/>
                <w:bCs/>
                <w:color w:val="000000"/>
                <w:lang w:val="en-GB" w:eastAsia="tr-TR"/>
              </w:rPr>
              <w:t xml:space="preserve">X </w:t>
            </w:r>
            <w:r w:rsidR="001253AF" w:rsidRPr="007266F8">
              <w:rPr>
                <w:rFonts w:ascii="Calibri" w:eastAsia="Times New Roman" w:hAnsi="Calibri" w:cs="Calibri"/>
                <w:b/>
                <w:bCs/>
                <w:color w:val="000000"/>
                <w:lang w:val="en-GB" w:eastAsia="tr-TR"/>
              </w:rPr>
              <w:t xml:space="preserve">Energy Inc. </w:t>
            </w:r>
          </w:p>
        </w:tc>
      </w:tr>
      <w:tr w:rsidR="00C64818" w:rsidRPr="007266F8" w:rsidTr="00681675">
        <w:tc>
          <w:tcPr>
            <w:tcW w:w="5098" w:type="dxa"/>
            <w:shd w:val="clear" w:color="000000" w:fill="FFFFFF"/>
            <w:noWrap/>
            <w:vAlign w:val="center"/>
            <w:hideMark/>
          </w:tcPr>
          <w:p w:rsidR="00C64818" w:rsidRPr="007266F8" w:rsidRDefault="001253AF" w:rsidP="00C64818">
            <w:pPr>
              <w:spacing w:after="0" w:line="240" w:lineRule="auto"/>
              <w:jc w:val="center"/>
              <w:rPr>
                <w:rFonts w:ascii="Calibri" w:eastAsia="Times New Roman" w:hAnsi="Calibri" w:cs="Calibri"/>
                <w:color w:val="000000"/>
                <w:lang w:val="en-GB" w:eastAsia="tr-TR"/>
              </w:rPr>
            </w:pPr>
            <w:r w:rsidRPr="007266F8">
              <w:rPr>
                <w:rFonts w:ascii="Calibri" w:eastAsia="Times New Roman" w:hAnsi="Calibri" w:cs="Calibri"/>
                <w:color w:val="000000"/>
                <w:lang w:val="en-GB" w:eastAsia="tr-TR"/>
              </w:rPr>
              <w:t xml:space="preserve">DAMBQ </w:t>
            </w:r>
          </w:p>
        </w:tc>
        <w:tc>
          <w:tcPr>
            <w:tcW w:w="4463" w:type="dxa"/>
            <w:shd w:val="clear" w:color="auto" w:fill="auto"/>
            <w:noWrap/>
            <w:hideMark/>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891.159,90</w:t>
            </w:r>
          </w:p>
        </w:tc>
      </w:tr>
      <w:tr w:rsidR="00C64818" w:rsidRPr="007266F8" w:rsidTr="00681675">
        <w:tc>
          <w:tcPr>
            <w:tcW w:w="5098" w:type="dxa"/>
            <w:shd w:val="clear" w:color="000000" w:fill="FFFFFF"/>
            <w:noWrap/>
            <w:vAlign w:val="center"/>
            <w:hideMark/>
          </w:tcPr>
          <w:p w:rsidR="00C64818" w:rsidRPr="007266F8" w:rsidRDefault="001253AF" w:rsidP="00C64818">
            <w:pPr>
              <w:spacing w:after="0" w:line="240" w:lineRule="auto"/>
              <w:jc w:val="center"/>
              <w:rPr>
                <w:rFonts w:ascii="Calibri" w:eastAsia="Times New Roman" w:hAnsi="Calibri" w:cs="Calibri"/>
                <w:color w:val="000000"/>
                <w:lang w:val="en-GB" w:eastAsia="tr-TR"/>
              </w:rPr>
            </w:pPr>
            <w:r w:rsidRPr="007266F8">
              <w:rPr>
                <w:rFonts w:ascii="Calibri" w:eastAsia="Times New Roman" w:hAnsi="Calibri" w:cs="Calibri"/>
                <w:color w:val="000000"/>
                <w:lang w:val="en-GB" w:eastAsia="tr-TR"/>
              </w:rPr>
              <w:t xml:space="preserve">IDMBQ </w:t>
            </w:r>
          </w:p>
        </w:tc>
        <w:tc>
          <w:tcPr>
            <w:tcW w:w="4463" w:type="dxa"/>
            <w:shd w:val="clear" w:color="auto" w:fill="auto"/>
            <w:noWrap/>
            <w:hideMark/>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136.002,90</w:t>
            </w:r>
          </w:p>
        </w:tc>
      </w:tr>
      <w:tr w:rsidR="00C64818" w:rsidRPr="007266F8" w:rsidTr="00681675">
        <w:tc>
          <w:tcPr>
            <w:tcW w:w="5098" w:type="dxa"/>
            <w:shd w:val="clear" w:color="000000" w:fill="FFFFFF"/>
            <w:noWrap/>
            <w:vAlign w:val="center"/>
            <w:hideMark/>
          </w:tcPr>
          <w:p w:rsidR="00C64818" w:rsidRPr="007266F8" w:rsidRDefault="001253AF" w:rsidP="00C64818">
            <w:pPr>
              <w:spacing w:after="0" w:line="240" w:lineRule="auto"/>
              <w:jc w:val="center"/>
              <w:rPr>
                <w:rFonts w:ascii="Calibri" w:eastAsia="Times New Roman" w:hAnsi="Calibri" w:cs="Calibri"/>
                <w:color w:val="000000"/>
                <w:lang w:val="en-GB" w:eastAsia="tr-TR"/>
              </w:rPr>
            </w:pPr>
            <w:r w:rsidRPr="007266F8">
              <w:rPr>
                <w:rFonts w:ascii="Calibri" w:eastAsia="Times New Roman" w:hAnsi="Calibri" w:cs="Calibri"/>
                <w:color w:val="000000"/>
                <w:lang w:val="en-GB" w:eastAsia="tr-TR"/>
              </w:rPr>
              <w:t xml:space="preserve">BCBQ </w:t>
            </w:r>
          </w:p>
        </w:tc>
        <w:tc>
          <w:tcPr>
            <w:tcW w:w="4463" w:type="dxa"/>
            <w:shd w:val="clear" w:color="auto" w:fill="auto"/>
            <w:noWrap/>
            <w:hideMark/>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1.064.607,00</w:t>
            </w:r>
          </w:p>
        </w:tc>
      </w:tr>
      <w:tr w:rsidR="00C64818" w:rsidRPr="007266F8" w:rsidTr="00681675">
        <w:tc>
          <w:tcPr>
            <w:tcW w:w="5098" w:type="dxa"/>
            <w:shd w:val="clear" w:color="000000" w:fill="FFFFFF"/>
            <w:noWrap/>
            <w:vAlign w:val="center"/>
            <w:hideMark/>
          </w:tcPr>
          <w:p w:rsidR="00C64818" w:rsidRPr="007266F8" w:rsidRDefault="006A358D" w:rsidP="00C64818">
            <w:pPr>
              <w:spacing w:after="0" w:line="240" w:lineRule="auto"/>
              <w:jc w:val="center"/>
              <w:rPr>
                <w:rFonts w:ascii="Calibri" w:eastAsia="Times New Roman" w:hAnsi="Calibri" w:cs="Calibri"/>
                <w:color w:val="000000"/>
                <w:lang w:val="en-GB" w:eastAsia="tr-TR"/>
              </w:rPr>
            </w:pPr>
            <w:r>
              <w:rPr>
                <w:rFonts w:ascii="Calibri" w:eastAsia="Times New Roman" w:hAnsi="Calibri" w:cs="Calibri"/>
                <w:color w:val="000000"/>
                <w:lang w:val="en-GB" w:eastAsia="tr-TR"/>
              </w:rPr>
              <w:t>I</w:t>
            </w:r>
            <w:r w:rsidR="001253AF" w:rsidRPr="007266F8">
              <w:rPr>
                <w:rFonts w:ascii="Calibri" w:eastAsia="Times New Roman" w:hAnsi="Calibri" w:cs="Calibri"/>
                <w:color w:val="000000"/>
                <w:lang w:val="en-GB" w:eastAsia="tr-TR"/>
              </w:rPr>
              <w:t>QS</w:t>
            </w:r>
            <w:r>
              <w:rPr>
                <w:rFonts w:ascii="Calibri" w:eastAsia="Times New Roman" w:hAnsi="Calibri" w:cs="Calibri"/>
                <w:color w:val="000000"/>
                <w:lang w:val="en-GB" w:eastAsia="tr-TR"/>
              </w:rPr>
              <w:t>t</w:t>
            </w:r>
            <w:r w:rsidR="001253AF" w:rsidRPr="007266F8">
              <w:rPr>
                <w:rFonts w:ascii="Calibri" w:eastAsia="Times New Roman" w:hAnsi="Calibri" w:cs="Calibri"/>
                <w:color w:val="000000"/>
                <w:lang w:val="en-GB" w:eastAsia="tr-TR"/>
              </w:rPr>
              <w:t>S</w:t>
            </w:r>
          </w:p>
        </w:tc>
        <w:tc>
          <w:tcPr>
            <w:tcW w:w="4463" w:type="dxa"/>
            <w:shd w:val="clear" w:color="auto" w:fill="auto"/>
            <w:noWrap/>
            <w:hideMark/>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7.251.603,17</w:t>
            </w:r>
          </w:p>
        </w:tc>
      </w:tr>
      <w:tr w:rsidR="00C64818" w:rsidRPr="007266F8" w:rsidTr="00681675">
        <w:tc>
          <w:tcPr>
            <w:tcW w:w="5098" w:type="dxa"/>
            <w:shd w:val="clear" w:color="000000" w:fill="FFFFFF"/>
            <w:noWrap/>
            <w:vAlign w:val="center"/>
            <w:hideMark/>
          </w:tcPr>
          <w:p w:rsidR="00C64818" w:rsidRPr="007266F8" w:rsidRDefault="001253AF" w:rsidP="00C64818">
            <w:pPr>
              <w:spacing w:after="0" w:line="240" w:lineRule="auto"/>
              <w:jc w:val="center"/>
              <w:rPr>
                <w:rFonts w:ascii="Calibri" w:eastAsia="Times New Roman" w:hAnsi="Calibri" w:cs="Calibri"/>
                <w:color w:val="000000"/>
                <w:lang w:val="en-GB" w:eastAsia="tr-TR"/>
              </w:rPr>
            </w:pPr>
            <w:r w:rsidRPr="007266F8">
              <w:rPr>
                <w:rFonts w:ascii="Calibri" w:eastAsia="Times New Roman" w:hAnsi="Calibri" w:cs="Calibri"/>
                <w:color w:val="000000"/>
                <w:lang w:val="en-GB" w:eastAsia="tr-TR"/>
              </w:rPr>
              <w:t>PFMBQ</w:t>
            </w:r>
          </w:p>
        </w:tc>
        <w:tc>
          <w:tcPr>
            <w:tcW w:w="4463" w:type="dxa"/>
            <w:shd w:val="clear" w:color="auto" w:fill="auto"/>
            <w:noWrap/>
            <w:hideMark/>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0</w:t>
            </w:r>
          </w:p>
        </w:tc>
      </w:tr>
      <w:tr w:rsidR="00C64818" w:rsidRPr="007266F8" w:rsidTr="00681675">
        <w:tc>
          <w:tcPr>
            <w:tcW w:w="5098" w:type="dxa"/>
            <w:shd w:val="clear" w:color="000000" w:fill="FFFFFF"/>
            <w:noWrap/>
            <w:vAlign w:val="center"/>
            <w:hideMark/>
          </w:tcPr>
          <w:p w:rsidR="00C64818" w:rsidRPr="007266F8" w:rsidRDefault="006A358D" w:rsidP="006A358D">
            <w:pPr>
              <w:spacing w:after="0" w:line="240" w:lineRule="auto"/>
              <w:jc w:val="center"/>
              <w:rPr>
                <w:rFonts w:ascii="Calibri" w:eastAsia="Times New Roman" w:hAnsi="Calibri" w:cs="Calibri"/>
                <w:color w:val="000000"/>
                <w:lang w:val="en-GB" w:eastAsia="tr-TR"/>
              </w:rPr>
            </w:pPr>
            <w:r w:rsidRPr="007266F8">
              <w:rPr>
                <w:rFonts w:ascii="Calibri" w:eastAsia="Times New Roman" w:hAnsi="Calibri" w:cs="Calibri"/>
                <w:color w:val="000000"/>
                <w:lang w:val="en-GB" w:eastAsia="tr-TR"/>
              </w:rPr>
              <w:t>N</w:t>
            </w:r>
            <w:r w:rsidR="001253AF" w:rsidRPr="007266F8">
              <w:rPr>
                <w:rFonts w:ascii="Calibri" w:eastAsia="Times New Roman" w:hAnsi="Calibri" w:cs="Calibri"/>
                <w:color w:val="000000"/>
                <w:lang w:val="en-GB" w:eastAsia="tr-TR"/>
              </w:rPr>
              <w:t>EIQ</w:t>
            </w:r>
          </w:p>
        </w:tc>
        <w:tc>
          <w:tcPr>
            <w:tcW w:w="4463" w:type="dxa"/>
            <w:shd w:val="clear" w:color="auto" w:fill="auto"/>
            <w:noWrap/>
            <w:hideMark/>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1.749,25</w:t>
            </w:r>
          </w:p>
        </w:tc>
      </w:tr>
      <w:tr w:rsidR="00C64818" w:rsidRPr="007266F8" w:rsidTr="00681675">
        <w:tc>
          <w:tcPr>
            <w:tcW w:w="5098" w:type="dxa"/>
            <w:shd w:val="clear" w:color="000000" w:fill="FFFFFF"/>
            <w:noWrap/>
            <w:vAlign w:val="center"/>
            <w:hideMark/>
          </w:tcPr>
          <w:p w:rsidR="00C64818" w:rsidRPr="007266F8" w:rsidRDefault="001253AF" w:rsidP="006A358D">
            <w:pPr>
              <w:spacing w:after="0" w:line="240" w:lineRule="auto"/>
              <w:jc w:val="center"/>
              <w:rPr>
                <w:rFonts w:ascii="Calibri" w:eastAsia="Times New Roman" w:hAnsi="Calibri" w:cs="Calibri"/>
                <w:color w:val="000000"/>
                <w:lang w:val="en-GB" w:eastAsia="tr-TR"/>
              </w:rPr>
            </w:pPr>
            <w:r w:rsidRPr="007266F8">
              <w:rPr>
                <w:rFonts w:ascii="Calibri" w:eastAsia="Times New Roman" w:hAnsi="Calibri" w:cs="Calibri"/>
                <w:color w:val="000000"/>
                <w:lang w:val="en-GB" w:eastAsia="tr-TR"/>
              </w:rPr>
              <w:t>FD</w:t>
            </w:r>
            <w:r w:rsidR="006A358D">
              <w:rPr>
                <w:rFonts w:ascii="Calibri" w:eastAsia="Times New Roman" w:hAnsi="Calibri" w:cs="Calibri"/>
                <w:color w:val="000000"/>
                <w:lang w:val="en-GB" w:eastAsia="tr-TR"/>
              </w:rPr>
              <w:t>R</w:t>
            </w:r>
            <w:r w:rsidRPr="007266F8">
              <w:rPr>
                <w:rFonts w:ascii="Calibri" w:eastAsia="Times New Roman" w:hAnsi="Calibri" w:cs="Calibri"/>
                <w:color w:val="000000"/>
                <w:lang w:val="en-GB" w:eastAsia="tr-TR"/>
              </w:rPr>
              <w:t xml:space="preserve">IQ </w:t>
            </w:r>
          </w:p>
        </w:tc>
        <w:tc>
          <w:tcPr>
            <w:tcW w:w="4463" w:type="dxa"/>
            <w:shd w:val="clear" w:color="auto" w:fill="auto"/>
            <w:noWrap/>
            <w:hideMark/>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40.025,08</w:t>
            </w:r>
          </w:p>
        </w:tc>
      </w:tr>
      <w:tr w:rsidR="00C64818" w:rsidRPr="007266F8" w:rsidTr="00681675">
        <w:tc>
          <w:tcPr>
            <w:tcW w:w="5098" w:type="dxa"/>
            <w:shd w:val="clear" w:color="000000" w:fill="FFFFFF"/>
            <w:noWrap/>
            <w:vAlign w:val="center"/>
            <w:hideMark/>
          </w:tcPr>
          <w:p w:rsidR="00C64818" w:rsidRPr="007266F8" w:rsidRDefault="00C64818" w:rsidP="001253AF">
            <w:pPr>
              <w:spacing w:after="0" w:line="240" w:lineRule="auto"/>
              <w:jc w:val="center"/>
              <w:rPr>
                <w:rFonts w:ascii="Calibri" w:eastAsia="Times New Roman" w:hAnsi="Calibri" w:cs="Calibri"/>
                <w:color w:val="000000"/>
                <w:lang w:val="en-GB" w:eastAsia="tr-TR"/>
              </w:rPr>
            </w:pPr>
            <w:r w:rsidRPr="007266F8">
              <w:rPr>
                <w:rFonts w:ascii="Calibri" w:eastAsia="Times New Roman" w:hAnsi="Calibri" w:cs="Calibri"/>
                <w:color w:val="000000"/>
                <w:lang w:val="en-GB" w:eastAsia="tr-TR"/>
              </w:rPr>
              <w:t xml:space="preserve">X </w:t>
            </w:r>
            <w:r w:rsidR="001253AF" w:rsidRPr="007266F8">
              <w:rPr>
                <w:rFonts w:ascii="Calibri" w:eastAsia="Times New Roman" w:hAnsi="Calibri" w:cs="Calibri"/>
                <w:color w:val="000000"/>
                <w:lang w:val="en-GB" w:eastAsia="tr-TR"/>
              </w:rPr>
              <w:t>Energy Inc.’s</w:t>
            </w:r>
            <w:r w:rsidRPr="007266F8">
              <w:rPr>
                <w:rFonts w:ascii="Calibri" w:eastAsia="Times New Roman" w:hAnsi="Calibri" w:cs="Calibri"/>
                <w:color w:val="000000"/>
                <w:lang w:val="en-GB" w:eastAsia="tr-TR"/>
              </w:rPr>
              <w:t xml:space="preserve"> </w:t>
            </w:r>
            <w:r w:rsidR="001253AF" w:rsidRPr="007266F8">
              <w:rPr>
                <w:rFonts w:ascii="Calibri" w:eastAsia="Times New Roman" w:hAnsi="Calibri" w:cs="Calibri"/>
                <w:color w:val="000000"/>
                <w:lang w:val="en-GB" w:eastAsia="tr-TR"/>
              </w:rPr>
              <w:t>Total</w:t>
            </w:r>
            <w:r w:rsidRPr="007266F8">
              <w:rPr>
                <w:rFonts w:ascii="Calibri" w:eastAsia="Times New Roman" w:hAnsi="Calibri" w:cs="Calibri"/>
                <w:color w:val="000000"/>
                <w:lang w:val="en-GB" w:eastAsia="tr-TR"/>
              </w:rPr>
              <w:t xml:space="preserve"> </w:t>
            </w:r>
            <w:r w:rsidR="001253AF" w:rsidRPr="007266F8">
              <w:rPr>
                <w:rFonts w:ascii="Calibri" w:eastAsia="Times New Roman" w:hAnsi="Calibri" w:cs="Calibri"/>
                <w:color w:val="000000"/>
                <w:lang w:val="en-GB" w:eastAsia="tr-TR"/>
              </w:rPr>
              <w:t xml:space="preserve">Buying </w:t>
            </w:r>
            <w:r w:rsidRPr="007266F8">
              <w:rPr>
                <w:rFonts w:ascii="Calibri" w:eastAsia="Times New Roman" w:hAnsi="Calibri" w:cs="Calibri"/>
                <w:color w:val="000000"/>
                <w:lang w:val="en-GB" w:eastAsia="tr-TR"/>
              </w:rPr>
              <w:t xml:space="preserve">+ </w:t>
            </w:r>
            <w:r w:rsidR="006A358D">
              <w:rPr>
                <w:rFonts w:ascii="Calibri" w:eastAsia="Times New Roman" w:hAnsi="Calibri" w:cs="Calibri"/>
                <w:color w:val="000000"/>
                <w:lang w:val="en-GB" w:eastAsia="tr-TR"/>
              </w:rPr>
              <w:t>I</w:t>
            </w:r>
            <w:r w:rsidR="001253AF" w:rsidRPr="007266F8">
              <w:rPr>
                <w:rFonts w:ascii="Calibri" w:eastAsia="Times New Roman" w:hAnsi="Calibri" w:cs="Calibri"/>
                <w:color w:val="000000"/>
                <w:lang w:val="en-GB" w:eastAsia="tr-TR"/>
              </w:rPr>
              <w:t>QS</w:t>
            </w:r>
            <w:r w:rsidR="006A358D">
              <w:rPr>
                <w:rFonts w:ascii="Calibri" w:eastAsia="Times New Roman" w:hAnsi="Calibri" w:cs="Calibri"/>
                <w:color w:val="000000"/>
                <w:lang w:val="en-GB" w:eastAsia="tr-TR"/>
              </w:rPr>
              <w:t>t</w:t>
            </w:r>
            <w:r w:rsidR="001253AF" w:rsidRPr="007266F8">
              <w:rPr>
                <w:rFonts w:ascii="Calibri" w:eastAsia="Times New Roman" w:hAnsi="Calibri" w:cs="Calibri"/>
                <w:color w:val="000000"/>
                <w:lang w:val="en-GB" w:eastAsia="tr-TR"/>
              </w:rPr>
              <w:t>S</w:t>
            </w:r>
            <w:r w:rsidRPr="007266F8">
              <w:rPr>
                <w:rFonts w:ascii="Calibri" w:eastAsia="Times New Roman" w:hAnsi="Calibri" w:cs="Calibri"/>
                <w:color w:val="000000"/>
                <w:lang w:val="en-GB" w:eastAsia="tr-TR"/>
              </w:rPr>
              <w:t xml:space="preserve"> </w:t>
            </w:r>
            <w:r w:rsidR="001253AF" w:rsidRPr="007266F8">
              <w:rPr>
                <w:rFonts w:ascii="Calibri" w:eastAsia="Times New Roman" w:hAnsi="Calibri" w:cs="Calibri"/>
                <w:color w:val="000000"/>
                <w:lang w:val="en-GB" w:eastAsia="tr-TR"/>
              </w:rPr>
              <w:t xml:space="preserve">Quantities </w:t>
            </w:r>
          </w:p>
        </w:tc>
        <w:tc>
          <w:tcPr>
            <w:tcW w:w="4463" w:type="dxa"/>
            <w:shd w:val="clear" w:color="auto" w:fill="FFF2CC" w:themeFill="accent4" w:themeFillTint="33"/>
            <w:noWrap/>
            <w:hideMark/>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9.385.147,30</w:t>
            </w:r>
          </w:p>
        </w:tc>
      </w:tr>
      <w:tr w:rsidR="00C64818" w:rsidRPr="007266F8" w:rsidTr="00681675">
        <w:tc>
          <w:tcPr>
            <w:tcW w:w="5098" w:type="dxa"/>
            <w:shd w:val="clear" w:color="000000" w:fill="FFFFFF"/>
            <w:noWrap/>
            <w:vAlign w:val="center"/>
          </w:tcPr>
          <w:p w:rsidR="00C64818" w:rsidRPr="007266F8" w:rsidRDefault="001253AF" w:rsidP="001253AF">
            <w:pPr>
              <w:spacing w:after="0" w:line="240" w:lineRule="auto"/>
              <w:jc w:val="center"/>
              <w:rPr>
                <w:rFonts w:ascii="Calibri" w:eastAsia="Times New Roman" w:hAnsi="Calibri" w:cs="Calibri"/>
                <w:color w:val="000000"/>
                <w:lang w:val="en-GB" w:eastAsia="tr-TR"/>
              </w:rPr>
            </w:pPr>
            <w:r w:rsidRPr="007266F8">
              <w:rPr>
                <w:rFonts w:ascii="Calibri" w:eastAsia="Times New Roman" w:hAnsi="Calibri" w:cs="Calibri"/>
                <w:color w:val="000000"/>
                <w:lang w:val="en-GB" w:eastAsia="tr-TR"/>
              </w:rPr>
              <w:t xml:space="preserve">Total of Market Buying Quantity Total and </w:t>
            </w:r>
            <w:r w:rsidR="0048505C">
              <w:rPr>
                <w:rFonts w:ascii="Calibri" w:eastAsia="Times New Roman" w:hAnsi="Calibri" w:cs="Calibri"/>
                <w:color w:val="000000"/>
                <w:lang w:val="en-GB" w:eastAsia="tr-TR"/>
              </w:rPr>
              <w:t>I</w:t>
            </w:r>
            <w:r w:rsidR="0048505C" w:rsidRPr="007266F8">
              <w:rPr>
                <w:rFonts w:ascii="Calibri" w:eastAsia="Times New Roman" w:hAnsi="Calibri" w:cs="Calibri"/>
                <w:color w:val="000000"/>
                <w:lang w:val="en-GB" w:eastAsia="tr-TR"/>
              </w:rPr>
              <w:t>QS</w:t>
            </w:r>
            <w:r w:rsidR="0048505C">
              <w:rPr>
                <w:rFonts w:ascii="Calibri" w:eastAsia="Times New Roman" w:hAnsi="Calibri" w:cs="Calibri"/>
                <w:color w:val="000000"/>
                <w:lang w:val="en-GB" w:eastAsia="tr-TR"/>
              </w:rPr>
              <w:t>t</w:t>
            </w:r>
            <w:r w:rsidR="0048505C" w:rsidRPr="007266F8">
              <w:rPr>
                <w:rFonts w:ascii="Calibri" w:eastAsia="Times New Roman" w:hAnsi="Calibri" w:cs="Calibri"/>
                <w:color w:val="000000"/>
                <w:lang w:val="en-GB" w:eastAsia="tr-TR"/>
              </w:rPr>
              <w:t>S</w:t>
            </w:r>
          </w:p>
        </w:tc>
        <w:tc>
          <w:tcPr>
            <w:tcW w:w="4463" w:type="dxa"/>
            <w:shd w:val="clear" w:color="auto" w:fill="FFF2CC" w:themeFill="accent4" w:themeFillTint="33"/>
            <w:noWrap/>
          </w:tcPr>
          <w:p w:rsidR="00C64818" w:rsidRPr="007266F8" w:rsidRDefault="00C64818" w:rsidP="00C64818">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744.882.416,84</w:t>
            </w:r>
          </w:p>
        </w:tc>
      </w:tr>
    </w:tbl>
    <w:p w:rsidR="005E37F4" w:rsidRPr="007266F8" w:rsidRDefault="005E37F4" w:rsidP="008426E4">
      <w:pPr>
        <w:spacing w:after="0"/>
        <w:jc w:val="both"/>
        <w:rPr>
          <w:rFonts w:cstheme="minorHAnsi"/>
          <w:lang w:val="en-GB"/>
        </w:rPr>
      </w:pPr>
    </w:p>
    <w:p w:rsidR="005E37F4" w:rsidRPr="007266F8" w:rsidRDefault="00E97929" w:rsidP="00CB13E5">
      <w:pPr>
        <w:ind w:firstLine="708"/>
        <w:jc w:val="both"/>
        <w:rPr>
          <w:rFonts w:cstheme="minorHAnsi"/>
          <w:lang w:val="en-GB"/>
        </w:rPr>
      </w:pPr>
      <w:r w:rsidRPr="007266F8">
        <w:rPr>
          <w:rFonts w:cstheme="minorHAnsi"/>
          <w:lang w:val="en-GB"/>
        </w:rPr>
        <w:t>Position Limit Rate (PLR)</w:t>
      </w:r>
      <w:r w:rsidR="00777B7C" w:rsidRPr="007266F8">
        <w:rPr>
          <w:rFonts w:cstheme="minorHAnsi"/>
          <w:lang w:val="en-GB"/>
        </w:rPr>
        <w:t xml:space="preserve">= </w:t>
      </w:r>
      <w:r w:rsidR="00C64818" w:rsidRPr="007266F8">
        <w:rPr>
          <w:rFonts w:cstheme="minorHAnsi"/>
          <w:lang w:val="en-GB"/>
        </w:rPr>
        <w:t>9.385.147,30 / 744.882.416,84</w:t>
      </w:r>
      <w:r w:rsidR="005E37F4" w:rsidRPr="007266F8">
        <w:rPr>
          <w:rFonts w:cstheme="minorHAnsi"/>
          <w:lang w:val="en-GB"/>
        </w:rPr>
        <w:t xml:space="preserve"> = 1,2600</w:t>
      </w:r>
      <w:r w:rsidR="0098484C" w:rsidRPr="007266F8">
        <w:rPr>
          <w:rFonts w:cstheme="minorHAnsi"/>
          <w:lang w:val="en-GB"/>
        </w:rPr>
        <w:t>%</w:t>
      </w:r>
    </w:p>
    <w:p w:rsidR="00313215" w:rsidRPr="007266F8" w:rsidRDefault="00EF1373" w:rsidP="00EF1373">
      <w:pPr>
        <w:ind w:firstLine="708"/>
        <w:jc w:val="both"/>
        <w:rPr>
          <w:rFonts w:cstheme="minorHAnsi"/>
          <w:lang w:val="en-GB"/>
        </w:rPr>
      </w:pPr>
      <w:r w:rsidRPr="007266F8">
        <w:rPr>
          <w:rFonts w:cstheme="minorHAnsi"/>
          <w:lang w:val="en-GB"/>
        </w:rPr>
        <w:t>Given that the PLR is 1,26%:</w:t>
      </w:r>
    </w:p>
    <w:p w:rsidR="005E37F4" w:rsidRPr="007266F8" w:rsidRDefault="00575DA6" w:rsidP="00575DA6">
      <w:pPr>
        <w:ind w:firstLine="708"/>
        <w:jc w:val="both"/>
        <w:rPr>
          <w:rFonts w:cstheme="minorHAnsi"/>
          <w:lang w:val="en-GB"/>
        </w:rPr>
      </w:pPr>
      <w:r w:rsidRPr="007266F8">
        <w:rPr>
          <w:rFonts w:cstheme="minorHAnsi"/>
          <w:lang w:val="en-GB"/>
        </w:rPr>
        <w:t>X Energy Inc’s market position limits for the delivery periods shall be calculated by multiplying delivery period market position limits by the X Energy Inc’s presence in the market rate</w:t>
      </w:r>
      <w:r w:rsidR="00313215" w:rsidRPr="007266F8">
        <w:rPr>
          <w:rFonts w:cstheme="minorHAnsi"/>
          <w:lang w:val="en-GB"/>
        </w:rPr>
        <w:t>.</w:t>
      </w:r>
    </w:p>
    <w:tbl>
      <w:tblPr>
        <w:tblW w:w="9498" w:type="dxa"/>
        <w:tblInd w:w="-10" w:type="dxa"/>
        <w:tblCellMar>
          <w:left w:w="70" w:type="dxa"/>
          <w:right w:w="70" w:type="dxa"/>
        </w:tblCellMar>
        <w:tblLook w:val="04A0" w:firstRow="1" w:lastRow="0" w:firstColumn="1" w:lastColumn="0" w:noHBand="0" w:noVBand="1"/>
      </w:tblPr>
      <w:tblGrid>
        <w:gridCol w:w="2406"/>
        <w:gridCol w:w="1989"/>
        <w:gridCol w:w="2693"/>
        <w:gridCol w:w="2410"/>
      </w:tblGrid>
      <w:tr w:rsidR="00905C44" w:rsidRPr="007266F8" w:rsidTr="00905C44">
        <w:trPr>
          <w:trHeight w:val="200"/>
        </w:trPr>
        <w:tc>
          <w:tcPr>
            <w:tcW w:w="9498" w:type="dxa"/>
            <w:gridSpan w:val="4"/>
            <w:tcBorders>
              <w:top w:val="single" w:sz="8" w:space="0" w:color="B8CCE4"/>
              <w:left w:val="single" w:sz="8" w:space="0" w:color="B8CCE4"/>
              <w:bottom w:val="single" w:sz="12" w:space="0" w:color="9CC2E5"/>
              <w:right w:val="nil"/>
            </w:tcBorders>
            <w:shd w:val="clear" w:color="000000" w:fill="DEEAF6"/>
            <w:vAlign w:val="center"/>
            <w:hideMark/>
          </w:tcPr>
          <w:p w:rsidR="00905C44" w:rsidRPr="007266F8" w:rsidRDefault="00905C44" w:rsidP="00D54971">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X </w:t>
            </w:r>
            <w:r w:rsidR="00490800">
              <w:rPr>
                <w:rFonts w:ascii="Calibri" w:eastAsia="Times New Roman" w:hAnsi="Calibri" w:cs="Calibri"/>
                <w:b/>
                <w:bCs/>
                <w:i/>
                <w:iCs/>
                <w:color w:val="000000"/>
                <w:sz w:val="20"/>
                <w:szCs w:val="20"/>
                <w:lang w:val="en-GB" w:eastAsia="tr-TR"/>
              </w:rPr>
              <w:t>Energy Inc’s</w:t>
            </w:r>
            <w:r w:rsidR="00D54971" w:rsidRPr="007266F8">
              <w:rPr>
                <w:rFonts w:ascii="Calibri" w:eastAsia="Times New Roman" w:hAnsi="Calibri" w:cs="Calibri"/>
                <w:b/>
                <w:bCs/>
                <w:i/>
                <w:iCs/>
                <w:color w:val="000000"/>
                <w:sz w:val="20"/>
                <w:szCs w:val="20"/>
                <w:lang w:val="en-GB" w:eastAsia="tr-TR"/>
              </w:rPr>
              <w:t xml:space="preserve"> Market Position Limits</w:t>
            </w:r>
            <w:r w:rsidRPr="007266F8">
              <w:rPr>
                <w:rFonts w:ascii="Calibri" w:eastAsia="Times New Roman" w:hAnsi="Calibri" w:cs="Calibri"/>
                <w:b/>
                <w:bCs/>
                <w:i/>
                <w:iCs/>
                <w:color w:val="000000"/>
                <w:sz w:val="20"/>
                <w:szCs w:val="20"/>
                <w:lang w:val="en-GB" w:eastAsia="tr-TR"/>
              </w:rPr>
              <w:t xml:space="preserve"> </w:t>
            </w:r>
          </w:p>
        </w:tc>
      </w:tr>
      <w:tr w:rsidR="00905C44" w:rsidRPr="007266F8" w:rsidTr="00905C44">
        <w:trPr>
          <w:trHeight w:val="209"/>
        </w:trPr>
        <w:tc>
          <w:tcPr>
            <w:tcW w:w="2406" w:type="dxa"/>
            <w:tcBorders>
              <w:top w:val="nil"/>
              <w:left w:val="single" w:sz="8" w:space="0" w:color="BDD6EE"/>
              <w:bottom w:val="single" w:sz="8" w:space="0" w:color="BDD6EE"/>
              <w:right w:val="single" w:sz="8" w:space="0" w:color="BDD6EE"/>
            </w:tcBorders>
            <w:shd w:val="clear" w:color="000000" w:fill="DEEAF6"/>
            <w:noWrap/>
            <w:vAlign w:val="center"/>
            <w:hideMark/>
          </w:tcPr>
          <w:p w:rsidR="00905C44" w:rsidRPr="007266F8" w:rsidRDefault="00905C44" w:rsidP="00905C44">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2021</w:t>
            </w:r>
          </w:p>
        </w:tc>
        <w:tc>
          <w:tcPr>
            <w:tcW w:w="1989" w:type="dxa"/>
            <w:tcBorders>
              <w:top w:val="nil"/>
              <w:left w:val="nil"/>
              <w:bottom w:val="single" w:sz="8" w:space="0" w:color="BDD6EE"/>
              <w:right w:val="single" w:sz="8" w:space="0" w:color="BDD6EE"/>
            </w:tcBorders>
            <w:shd w:val="clear" w:color="000000" w:fill="DEEAF6"/>
            <w:noWrap/>
            <w:vAlign w:val="center"/>
          </w:tcPr>
          <w:p w:rsidR="00905C44" w:rsidRPr="007266F8" w:rsidRDefault="00D54971" w:rsidP="00D54971">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Yearly Contract Position Limit </w:t>
            </w:r>
          </w:p>
        </w:tc>
        <w:tc>
          <w:tcPr>
            <w:tcW w:w="2693" w:type="dxa"/>
            <w:tcBorders>
              <w:top w:val="nil"/>
              <w:left w:val="nil"/>
              <w:bottom w:val="single" w:sz="8" w:space="0" w:color="BDD6EE"/>
              <w:right w:val="single" w:sz="8" w:space="0" w:color="BDD6EE"/>
            </w:tcBorders>
            <w:shd w:val="clear" w:color="000000" w:fill="DEEAF6"/>
            <w:noWrap/>
            <w:vAlign w:val="center"/>
          </w:tcPr>
          <w:p w:rsidR="00905C44" w:rsidRPr="007266F8" w:rsidRDefault="00D54971" w:rsidP="00905C44">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Quarterly Contract Position Limit </w:t>
            </w:r>
          </w:p>
        </w:tc>
        <w:tc>
          <w:tcPr>
            <w:tcW w:w="2410" w:type="dxa"/>
            <w:tcBorders>
              <w:top w:val="nil"/>
              <w:left w:val="nil"/>
              <w:bottom w:val="single" w:sz="8" w:space="0" w:color="BDD6EE"/>
              <w:right w:val="single" w:sz="8" w:space="0" w:color="BDD6EE"/>
            </w:tcBorders>
            <w:shd w:val="clear" w:color="000000" w:fill="DEEAF6"/>
            <w:vAlign w:val="center"/>
          </w:tcPr>
          <w:p w:rsidR="00905C44" w:rsidRPr="007266F8" w:rsidRDefault="00D54971" w:rsidP="00905C44">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Monthly Contract Position Limit </w:t>
            </w:r>
          </w:p>
        </w:tc>
      </w:tr>
      <w:tr w:rsidR="00C36A81" w:rsidRPr="007266F8"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7266F8" w:rsidRDefault="00C36A81" w:rsidP="00C36A81">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MWh</w:t>
            </w:r>
          </w:p>
        </w:tc>
        <w:tc>
          <w:tcPr>
            <w:tcW w:w="1989" w:type="dxa"/>
            <w:tcBorders>
              <w:top w:val="nil"/>
              <w:left w:val="nil"/>
              <w:bottom w:val="single" w:sz="8" w:space="0" w:color="BDD6EE"/>
              <w:right w:val="single" w:sz="8" w:space="0" w:color="BDD6EE"/>
            </w:tcBorders>
            <w:shd w:val="clear" w:color="auto" w:fill="auto"/>
            <w:noWrap/>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216.972</w:t>
            </w:r>
          </w:p>
        </w:tc>
        <w:tc>
          <w:tcPr>
            <w:tcW w:w="2693" w:type="dxa"/>
            <w:tcBorders>
              <w:top w:val="nil"/>
              <w:left w:val="nil"/>
              <w:bottom w:val="single" w:sz="8" w:space="0" w:color="BDD6EE"/>
              <w:right w:val="single" w:sz="8" w:space="0" w:color="BDD6EE"/>
            </w:tcBorders>
            <w:shd w:val="clear" w:color="auto" w:fill="auto"/>
            <w:noWrap/>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650.916</w:t>
            </w:r>
          </w:p>
        </w:tc>
        <w:tc>
          <w:tcPr>
            <w:tcW w:w="2410" w:type="dxa"/>
            <w:tcBorders>
              <w:top w:val="nil"/>
              <w:left w:val="nil"/>
              <w:bottom w:val="single" w:sz="8" w:space="0" w:color="BDD6EE"/>
              <w:right w:val="single" w:sz="8" w:space="0" w:color="BDD6EE"/>
            </w:tcBorders>
            <w:shd w:val="clear" w:color="auto" w:fill="auto"/>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1.301.831</w:t>
            </w:r>
          </w:p>
        </w:tc>
      </w:tr>
      <w:tr w:rsidR="00C36A81" w:rsidRPr="007266F8"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7266F8" w:rsidRDefault="00C36A81" w:rsidP="00C36A81">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w:t>
            </w:r>
          </w:p>
        </w:tc>
        <w:tc>
          <w:tcPr>
            <w:tcW w:w="1989" w:type="dxa"/>
            <w:tcBorders>
              <w:top w:val="nil"/>
              <w:left w:val="nil"/>
              <w:bottom w:val="single" w:sz="8" w:space="0" w:color="BDD6EE"/>
              <w:right w:val="single" w:sz="8" w:space="0" w:color="BDD6EE"/>
            </w:tcBorders>
            <w:shd w:val="clear" w:color="auto" w:fill="auto"/>
            <w:noWrap/>
          </w:tcPr>
          <w:p w:rsidR="00C36A81" w:rsidRPr="007266F8" w:rsidRDefault="008C35CF"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25</w:t>
            </w:r>
          </w:p>
        </w:tc>
        <w:tc>
          <w:tcPr>
            <w:tcW w:w="2693" w:type="dxa"/>
            <w:tcBorders>
              <w:top w:val="nil"/>
              <w:left w:val="nil"/>
              <w:bottom w:val="single" w:sz="8" w:space="0" w:color="BDD6EE"/>
              <w:right w:val="single" w:sz="8" w:space="0" w:color="BDD6EE"/>
            </w:tcBorders>
            <w:shd w:val="clear" w:color="auto" w:fill="auto"/>
            <w:noWrap/>
          </w:tcPr>
          <w:p w:rsidR="00C36A81" w:rsidRPr="007266F8" w:rsidRDefault="008C35CF"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74</w:t>
            </w:r>
          </w:p>
        </w:tc>
        <w:tc>
          <w:tcPr>
            <w:tcW w:w="2410" w:type="dxa"/>
            <w:tcBorders>
              <w:top w:val="nil"/>
              <w:left w:val="nil"/>
              <w:bottom w:val="single" w:sz="8" w:space="0" w:color="BDD6EE"/>
              <w:right w:val="single" w:sz="8" w:space="0" w:color="BDD6EE"/>
            </w:tcBorders>
            <w:shd w:val="clear" w:color="auto" w:fill="auto"/>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149</w:t>
            </w:r>
          </w:p>
        </w:tc>
      </w:tr>
      <w:tr w:rsidR="00C36A81" w:rsidRPr="007266F8"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7266F8" w:rsidRDefault="00C36A81" w:rsidP="00C36A81">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Lot</w:t>
            </w:r>
          </w:p>
        </w:tc>
        <w:tc>
          <w:tcPr>
            <w:tcW w:w="1989" w:type="dxa"/>
            <w:tcBorders>
              <w:top w:val="nil"/>
              <w:left w:val="nil"/>
              <w:bottom w:val="single" w:sz="8" w:space="0" w:color="BDD6EE"/>
              <w:right w:val="single" w:sz="8" w:space="0" w:color="BDD6EE"/>
            </w:tcBorders>
            <w:shd w:val="clear" w:color="auto" w:fill="auto"/>
            <w:noWrap/>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2.169.720</w:t>
            </w:r>
          </w:p>
        </w:tc>
        <w:tc>
          <w:tcPr>
            <w:tcW w:w="2693" w:type="dxa"/>
            <w:tcBorders>
              <w:top w:val="nil"/>
              <w:left w:val="nil"/>
              <w:bottom w:val="single" w:sz="8" w:space="0" w:color="BDD6EE"/>
              <w:right w:val="single" w:sz="8" w:space="0" w:color="BDD6EE"/>
            </w:tcBorders>
            <w:shd w:val="clear" w:color="auto" w:fill="auto"/>
            <w:noWrap/>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6.509.160</w:t>
            </w:r>
          </w:p>
        </w:tc>
        <w:tc>
          <w:tcPr>
            <w:tcW w:w="2410" w:type="dxa"/>
            <w:tcBorders>
              <w:top w:val="nil"/>
              <w:left w:val="nil"/>
              <w:bottom w:val="single" w:sz="8" w:space="0" w:color="BDD6EE"/>
              <w:right w:val="single" w:sz="8" w:space="0" w:color="BDD6EE"/>
            </w:tcBorders>
            <w:shd w:val="clear" w:color="auto" w:fill="auto"/>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13.018.314</w:t>
            </w:r>
          </w:p>
        </w:tc>
      </w:tr>
      <w:tr w:rsidR="00C36A81" w:rsidRPr="007266F8"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7266F8" w:rsidRDefault="00BF1961" w:rsidP="00C36A81">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Hourly</w:t>
            </w:r>
            <w:r w:rsidR="00C36A81" w:rsidRPr="007266F8">
              <w:rPr>
                <w:rFonts w:ascii="Calibri" w:eastAsia="Times New Roman" w:hAnsi="Calibri" w:cs="Calibri"/>
                <w:b/>
                <w:bCs/>
                <w:color w:val="000000"/>
                <w:sz w:val="20"/>
                <w:szCs w:val="20"/>
                <w:lang w:val="en-GB" w:eastAsia="tr-TR"/>
              </w:rPr>
              <w:t xml:space="preserve"> Lot</w:t>
            </w:r>
          </w:p>
        </w:tc>
        <w:tc>
          <w:tcPr>
            <w:tcW w:w="1989" w:type="dxa"/>
            <w:tcBorders>
              <w:top w:val="nil"/>
              <w:left w:val="nil"/>
              <w:bottom w:val="single" w:sz="8" w:space="0" w:color="BDD6EE"/>
              <w:right w:val="single" w:sz="8" w:space="0" w:color="BDD6EE"/>
            </w:tcBorders>
            <w:shd w:val="clear" w:color="auto" w:fill="auto"/>
            <w:noWrap/>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247</w:t>
            </w:r>
          </w:p>
        </w:tc>
        <w:tc>
          <w:tcPr>
            <w:tcW w:w="2693" w:type="dxa"/>
            <w:tcBorders>
              <w:top w:val="nil"/>
              <w:left w:val="nil"/>
              <w:bottom w:val="single" w:sz="8" w:space="0" w:color="BDD6EE"/>
              <w:right w:val="single" w:sz="8" w:space="0" w:color="BDD6EE"/>
            </w:tcBorders>
            <w:shd w:val="clear" w:color="auto" w:fill="auto"/>
            <w:noWrap/>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743</w:t>
            </w:r>
          </w:p>
        </w:tc>
        <w:tc>
          <w:tcPr>
            <w:tcW w:w="2410" w:type="dxa"/>
            <w:tcBorders>
              <w:top w:val="nil"/>
              <w:left w:val="nil"/>
              <w:bottom w:val="single" w:sz="8" w:space="0" w:color="BDD6EE"/>
              <w:right w:val="single" w:sz="8" w:space="0" w:color="BDD6EE"/>
            </w:tcBorders>
            <w:shd w:val="clear" w:color="auto" w:fill="auto"/>
          </w:tcPr>
          <w:p w:rsidR="00C36A81" w:rsidRPr="007266F8" w:rsidRDefault="00C36A81" w:rsidP="00C36A81">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1.486</w:t>
            </w:r>
          </w:p>
        </w:tc>
      </w:tr>
    </w:tbl>
    <w:p w:rsidR="00777B7C" w:rsidRPr="007266F8" w:rsidRDefault="00313215" w:rsidP="00F46956">
      <w:pPr>
        <w:pStyle w:val="Caption"/>
        <w:jc w:val="center"/>
        <w:rPr>
          <w:rFonts w:cstheme="minorHAnsi"/>
          <w:lang w:val="en-GB"/>
        </w:rPr>
      </w:pPr>
      <w:bookmarkStart w:id="22" w:name="_Toc102051378"/>
      <w:r w:rsidRPr="007266F8">
        <w:rPr>
          <w:rFonts w:cstheme="minorHAnsi"/>
          <w:lang w:val="en-GB"/>
        </w:rPr>
        <w:t>Tabl</w:t>
      </w:r>
      <w:r w:rsidR="00F46956" w:rsidRPr="007266F8">
        <w:rPr>
          <w:rFonts w:cstheme="minorHAnsi"/>
          <w:lang w:val="en-GB"/>
        </w:rPr>
        <w:t>e</w:t>
      </w:r>
      <w:r w:rsidRPr="007266F8">
        <w:rPr>
          <w:rFonts w:cstheme="minorHAnsi"/>
          <w:lang w:val="en-GB"/>
        </w:rPr>
        <w:t xml:space="preserve"> </w:t>
      </w:r>
      <w:r w:rsidR="00D00A6F" w:rsidRPr="007266F8">
        <w:rPr>
          <w:rFonts w:cstheme="minorHAnsi"/>
          <w:lang w:val="en-GB"/>
        </w:rPr>
        <w:fldChar w:fldCharType="begin"/>
      </w:r>
      <w:r w:rsidR="00B56224" w:rsidRPr="007266F8">
        <w:rPr>
          <w:rFonts w:cstheme="minorHAnsi"/>
          <w:lang w:val="en-GB"/>
        </w:rPr>
        <w:instrText xml:space="preserve"> SEQ Tablo \* ARABIC </w:instrText>
      </w:r>
      <w:r w:rsidR="00D00A6F" w:rsidRPr="007266F8">
        <w:rPr>
          <w:rFonts w:cstheme="minorHAnsi"/>
          <w:lang w:val="en-GB"/>
        </w:rPr>
        <w:fldChar w:fldCharType="separate"/>
      </w:r>
      <w:r w:rsidR="00D12D06" w:rsidRPr="007266F8">
        <w:rPr>
          <w:rFonts w:cstheme="minorHAnsi"/>
          <w:noProof/>
          <w:lang w:val="en-GB"/>
        </w:rPr>
        <w:t>11</w:t>
      </w:r>
      <w:r w:rsidR="00D00A6F" w:rsidRPr="007266F8">
        <w:rPr>
          <w:rFonts w:cstheme="minorHAnsi"/>
          <w:lang w:val="en-GB"/>
        </w:rPr>
        <w:fldChar w:fldCharType="end"/>
      </w:r>
      <w:r w:rsidRPr="007266F8">
        <w:rPr>
          <w:rFonts w:cstheme="minorHAnsi"/>
          <w:lang w:val="en-GB"/>
        </w:rPr>
        <w:t xml:space="preserve">  </w:t>
      </w:r>
      <w:r w:rsidR="00F46956" w:rsidRPr="007266F8">
        <w:rPr>
          <w:rFonts w:cstheme="minorHAnsi"/>
          <w:lang w:val="en-GB"/>
        </w:rPr>
        <w:t>Exemplary Participant Total Market Position Limits</w:t>
      </w:r>
      <w:bookmarkEnd w:id="22"/>
      <w:r w:rsidR="00F46956" w:rsidRPr="007266F8">
        <w:rPr>
          <w:rFonts w:cstheme="minorHAnsi"/>
          <w:lang w:val="en-GB"/>
        </w:rPr>
        <w:t xml:space="preserve"> </w:t>
      </w:r>
    </w:p>
    <w:p w:rsidR="00777B7C" w:rsidRPr="007266F8" w:rsidRDefault="00777B7C" w:rsidP="000532DB">
      <w:pPr>
        <w:rPr>
          <w:rFonts w:cstheme="minorHAnsi"/>
          <w:lang w:val="en-GB"/>
        </w:rPr>
      </w:pPr>
    </w:p>
    <w:p w:rsidR="00313215" w:rsidRPr="007266F8" w:rsidRDefault="00CD3AF1" w:rsidP="00CD3AF1">
      <w:pPr>
        <w:ind w:firstLine="708"/>
        <w:jc w:val="both"/>
        <w:rPr>
          <w:rFonts w:cstheme="minorHAnsi"/>
          <w:lang w:val="en-GB"/>
        </w:rPr>
      </w:pPr>
      <w:r w:rsidRPr="007266F8">
        <w:rPr>
          <w:rFonts w:cstheme="minorHAnsi"/>
          <w:lang w:val="en-GB"/>
        </w:rPr>
        <w:t xml:space="preserve">Position limits which </w:t>
      </w:r>
      <w:r w:rsidR="00313215" w:rsidRPr="007266F8">
        <w:rPr>
          <w:rFonts w:cstheme="minorHAnsi"/>
          <w:lang w:val="en-GB"/>
        </w:rPr>
        <w:t xml:space="preserve">X </w:t>
      </w:r>
      <w:r w:rsidRPr="007266F8">
        <w:rPr>
          <w:rFonts w:cstheme="minorHAnsi"/>
          <w:lang w:val="en-GB"/>
        </w:rPr>
        <w:t xml:space="preserve">Energy Inc can have for each quarter shall be calculated by </w:t>
      </w:r>
      <w:r w:rsidR="0048505C">
        <w:rPr>
          <w:rFonts w:cstheme="minorHAnsi"/>
          <w:lang w:val="en-GB"/>
        </w:rPr>
        <w:t>allocating</w:t>
      </w:r>
      <w:r w:rsidRPr="007266F8">
        <w:rPr>
          <w:rFonts w:cstheme="minorHAnsi"/>
          <w:lang w:val="en-GB"/>
        </w:rPr>
        <w:t xml:space="preserve"> the quarterly contract position limit according to the consumption characteristics of quarters</w:t>
      </w:r>
      <w:r w:rsidR="00313215" w:rsidRPr="007266F8">
        <w:rPr>
          <w:rFonts w:cstheme="minorHAnsi"/>
          <w:lang w:val="en-GB"/>
        </w:rPr>
        <w:t>.</w:t>
      </w:r>
    </w:p>
    <w:tbl>
      <w:tblPr>
        <w:tblW w:w="9012" w:type="dxa"/>
        <w:tblInd w:w="-10" w:type="dxa"/>
        <w:tblCellMar>
          <w:left w:w="70" w:type="dxa"/>
          <w:right w:w="70" w:type="dxa"/>
        </w:tblCellMar>
        <w:tblLook w:val="04A0" w:firstRow="1" w:lastRow="0" w:firstColumn="1" w:lastColumn="0" w:noHBand="0" w:noVBand="1"/>
      </w:tblPr>
      <w:tblGrid>
        <w:gridCol w:w="2013"/>
        <w:gridCol w:w="1749"/>
        <w:gridCol w:w="1749"/>
        <w:gridCol w:w="1749"/>
        <w:gridCol w:w="1752"/>
      </w:tblGrid>
      <w:tr w:rsidR="000532DB" w:rsidRPr="007266F8" w:rsidTr="000532DB">
        <w:trPr>
          <w:trHeight w:val="141"/>
        </w:trPr>
        <w:tc>
          <w:tcPr>
            <w:tcW w:w="9012"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0532DB" w:rsidRPr="007266F8" w:rsidRDefault="000532DB" w:rsidP="00D54971">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X </w:t>
            </w:r>
            <w:r w:rsidR="00D54971" w:rsidRPr="007266F8">
              <w:rPr>
                <w:rFonts w:ascii="Calibri" w:eastAsia="Times New Roman" w:hAnsi="Calibri" w:cs="Calibri"/>
                <w:b/>
                <w:bCs/>
                <w:i/>
                <w:iCs/>
                <w:color w:val="000000"/>
                <w:sz w:val="20"/>
                <w:szCs w:val="20"/>
                <w:lang w:val="en-GB" w:eastAsia="tr-TR"/>
              </w:rPr>
              <w:t xml:space="preserve">Energy </w:t>
            </w:r>
            <w:r w:rsidR="00490800">
              <w:rPr>
                <w:rFonts w:ascii="Calibri" w:eastAsia="Times New Roman" w:hAnsi="Calibri" w:cs="Calibri"/>
                <w:b/>
                <w:bCs/>
                <w:i/>
                <w:iCs/>
                <w:color w:val="000000"/>
                <w:sz w:val="20"/>
                <w:szCs w:val="20"/>
                <w:lang w:val="en-GB" w:eastAsia="tr-TR"/>
              </w:rPr>
              <w:t>Inc’s</w:t>
            </w:r>
            <w:r w:rsidR="00D54971" w:rsidRPr="007266F8">
              <w:rPr>
                <w:rFonts w:ascii="Calibri" w:eastAsia="Times New Roman" w:hAnsi="Calibri" w:cs="Calibri"/>
                <w:b/>
                <w:bCs/>
                <w:i/>
                <w:iCs/>
                <w:color w:val="000000"/>
                <w:sz w:val="20"/>
                <w:szCs w:val="20"/>
                <w:lang w:val="en-GB" w:eastAsia="tr-TR"/>
              </w:rPr>
              <w:t xml:space="preserve"> Position Limits for Quarterly Contracts</w:t>
            </w:r>
            <w:r w:rsidRPr="007266F8">
              <w:rPr>
                <w:rFonts w:ascii="Calibri" w:eastAsia="Times New Roman" w:hAnsi="Calibri" w:cs="Calibri"/>
                <w:b/>
                <w:bCs/>
                <w:i/>
                <w:iCs/>
                <w:color w:val="000000"/>
                <w:sz w:val="20"/>
                <w:szCs w:val="20"/>
                <w:lang w:val="en-GB" w:eastAsia="tr-TR"/>
              </w:rPr>
              <w:t xml:space="preserve"> </w:t>
            </w:r>
          </w:p>
        </w:tc>
      </w:tr>
      <w:tr w:rsidR="00D61215" w:rsidRPr="007266F8" w:rsidTr="008C35CF">
        <w:trPr>
          <w:trHeight w:val="357"/>
        </w:trPr>
        <w:tc>
          <w:tcPr>
            <w:tcW w:w="2013" w:type="dxa"/>
            <w:tcBorders>
              <w:top w:val="nil"/>
              <w:left w:val="single" w:sz="8" w:space="0" w:color="BDD6EE"/>
              <w:bottom w:val="single" w:sz="8" w:space="0" w:color="BDD6EE"/>
              <w:right w:val="single" w:sz="8" w:space="0" w:color="BDD6EE"/>
            </w:tcBorders>
            <w:shd w:val="clear" w:color="000000" w:fill="DEEAF6"/>
            <w:vAlign w:val="center"/>
            <w:hideMark/>
          </w:tcPr>
          <w:p w:rsidR="00D61215" w:rsidRPr="007266F8" w:rsidRDefault="00D61215" w:rsidP="000532DB">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2021</w:t>
            </w:r>
          </w:p>
        </w:tc>
        <w:tc>
          <w:tcPr>
            <w:tcW w:w="1749" w:type="dxa"/>
            <w:tcBorders>
              <w:top w:val="nil"/>
              <w:left w:val="nil"/>
              <w:bottom w:val="single" w:sz="8" w:space="0" w:color="BDD6EE"/>
              <w:right w:val="single" w:sz="8" w:space="0" w:color="BDD6EE"/>
            </w:tcBorders>
            <w:shd w:val="clear" w:color="000000" w:fill="DEEAF6"/>
            <w:vAlign w:val="center"/>
            <w:hideMark/>
          </w:tcPr>
          <w:p w:rsidR="00D61215" w:rsidRPr="007266F8" w:rsidRDefault="00D61215" w:rsidP="00260CA8">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1</w:t>
            </w:r>
            <w:r w:rsidRPr="007266F8">
              <w:rPr>
                <w:rFonts w:ascii="Calibri" w:eastAsia="Times New Roman" w:hAnsi="Calibri" w:cs="Calibri"/>
                <w:b/>
                <w:bCs/>
                <w:i/>
                <w:iCs/>
                <w:color w:val="000000"/>
                <w:sz w:val="20"/>
                <w:szCs w:val="20"/>
                <w:vertAlign w:val="superscript"/>
                <w:lang w:val="en-GB" w:eastAsia="tr-TR"/>
              </w:rPr>
              <w:t xml:space="preserve">st </w:t>
            </w:r>
            <w:r w:rsidRPr="007266F8">
              <w:rPr>
                <w:rFonts w:ascii="Calibri" w:eastAsia="Times New Roman" w:hAnsi="Calibri" w:cs="Calibri"/>
                <w:b/>
                <w:bCs/>
                <w:i/>
                <w:iCs/>
                <w:color w:val="000000"/>
                <w:sz w:val="20"/>
                <w:szCs w:val="20"/>
                <w:lang w:val="en-GB" w:eastAsia="tr-TR"/>
              </w:rPr>
              <w:t xml:space="preserve">Quarter Position Limit  </w:t>
            </w:r>
          </w:p>
        </w:tc>
        <w:tc>
          <w:tcPr>
            <w:tcW w:w="1749" w:type="dxa"/>
            <w:tcBorders>
              <w:top w:val="nil"/>
              <w:left w:val="nil"/>
              <w:bottom w:val="single" w:sz="8" w:space="0" w:color="BDD6EE"/>
              <w:right w:val="single" w:sz="8" w:space="0" w:color="BDD6EE"/>
            </w:tcBorders>
            <w:shd w:val="clear" w:color="000000" w:fill="DEEAF6"/>
            <w:vAlign w:val="center"/>
            <w:hideMark/>
          </w:tcPr>
          <w:p w:rsidR="00D61215" w:rsidRPr="007266F8" w:rsidRDefault="00D61215" w:rsidP="00260CA8">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2</w:t>
            </w:r>
            <w:r w:rsidRPr="007266F8">
              <w:rPr>
                <w:rFonts w:ascii="Calibri" w:eastAsia="Times New Roman" w:hAnsi="Calibri" w:cs="Calibri"/>
                <w:b/>
                <w:bCs/>
                <w:i/>
                <w:iCs/>
                <w:color w:val="000000"/>
                <w:sz w:val="20"/>
                <w:szCs w:val="20"/>
                <w:vertAlign w:val="superscript"/>
                <w:lang w:val="en-GB" w:eastAsia="tr-TR"/>
              </w:rPr>
              <w:t>nd</w:t>
            </w:r>
            <w:r w:rsidRPr="007266F8">
              <w:rPr>
                <w:rFonts w:ascii="Calibri" w:eastAsia="Times New Roman" w:hAnsi="Calibri" w:cs="Calibri"/>
                <w:b/>
                <w:bCs/>
                <w:i/>
                <w:iCs/>
                <w:color w:val="000000"/>
                <w:sz w:val="20"/>
                <w:szCs w:val="20"/>
                <w:lang w:val="en-GB" w:eastAsia="tr-TR"/>
              </w:rPr>
              <w:t xml:space="preserve"> Quarter Position Limit</w:t>
            </w:r>
          </w:p>
        </w:tc>
        <w:tc>
          <w:tcPr>
            <w:tcW w:w="1749" w:type="dxa"/>
            <w:tcBorders>
              <w:top w:val="nil"/>
              <w:left w:val="nil"/>
              <w:bottom w:val="single" w:sz="8" w:space="0" w:color="BDD6EE"/>
              <w:right w:val="single" w:sz="8" w:space="0" w:color="BDD6EE"/>
            </w:tcBorders>
            <w:shd w:val="clear" w:color="000000" w:fill="DEEAF6"/>
            <w:vAlign w:val="center"/>
            <w:hideMark/>
          </w:tcPr>
          <w:p w:rsidR="00D61215" w:rsidRPr="007266F8" w:rsidRDefault="00D61215" w:rsidP="00260CA8">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3</w:t>
            </w:r>
            <w:r w:rsidRPr="007266F8">
              <w:rPr>
                <w:rFonts w:ascii="Calibri" w:eastAsia="Times New Roman" w:hAnsi="Calibri" w:cs="Calibri"/>
                <w:b/>
                <w:bCs/>
                <w:i/>
                <w:iCs/>
                <w:color w:val="000000"/>
                <w:sz w:val="20"/>
                <w:szCs w:val="20"/>
                <w:vertAlign w:val="superscript"/>
                <w:lang w:val="en-GB" w:eastAsia="tr-TR"/>
              </w:rPr>
              <w:t>rd</w:t>
            </w:r>
            <w:r w:rsidRPr="007266F8">
              <w:rPr>
                <w:rFonts w:ascii="Calibri" w:eastAsia="Times New Roman" w:hAnsi="Calibri" w:cs="Calibri"/>
                <w:b/>
                <w:bCs/>
                <w:i/>
                <w:iCs/>
                <w:color w:val="000000"/>
                <w:sz w:val="20"/>
                <w:szCs w:val="20"/>
                <w:lang w:val="en-GB" w:eastAsia="tr-TR"/>
              </w:rPr>
              <w:t xml:space="preserve"> Quarter Position Limit </w:t>
            </w:r>
          </w:p>
        </w:tc>
        <w:tc>
          <w:tcPr>
            <w:tcW w:w="1752" w:type="dxa"/>
            <w:tcBorders>
              <w:top w:val="nil"/>
              <w:left w:val="nil"/>
              <w:bottom w:val="single" w:sz="8" w:space="0" w:color="BDD6EE"/>
              <w:right w:val="single" w:sz="8" w:space="0" w:color="BDD6EE"/>
            </w:tcBorders>
            <w:shd w:val="clear" w:color="000000" w:fill="DEEAF6"/>
            <w:vAlign w:val="center"/>
            <w:hideMark/>
          </w:tcPr>
          <w:p w:rsidR="00D61215" w:rsidRPr="007266F8" w:rsidRDefault="00D61215" w:rsidP="00260CA8">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4</w:t>
            </w:r>
            <w:r w:rsidRPr="007266F8">
              <w:rPr>
                <w:rFonts w:ascii="Calibri" w:eastAsia="Times New Roman" w:hAnsi="Calibri" w:cs="Calibri"/>
                <w:b/>
                <w:bCs/>
                <w:i/>
                <w:iCs/>
                <w:color w:val="000000"/>
                <w:sz w:val="20"/>
                <w:szCs w:val="20"/>
                <w:vertAlign w:val="superscript"/>
                <w:lang w:val="en-GB" w:eastAsia="tr-TR"/>
              </w:rPr>
              <w:t>th</w:t>
            </w:r>
            <w:r w:rsidRPr="007266F8">
              <w:rPr>
                <w:rFonts w:ascii="Calibri" w:eastAsia="Times New Roman" w:hAnsi="Calibri" w:cs="Calibri"/>
                <w:b/>
                <w:bCs/>
                <w:i/>
                <w:iCs/>
                <w:color w:val="000000"/>
                <w:sz w:val="20"/>
                <w:szCs w:val="20"/>
                <w:lang w:val="en-GB" w:eastAsia="tr-TR"/>
              </w:rPr>
              <w:t xml:space="preserve"> Quarter Position Limit </w:t>
            </w:r>
          </w:p>
        </w:tc>
      </w:tr>
      <w:tr w:rsidR="00D61215" w:rsidRPr="007266F8"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D61215" w:rsidRPr="007266F8" w:rsidRDefault="00D61215" w:rsidP="008C35CF">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MWh</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164.197</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139.531</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181.669</w:t>
            </w:r>
          </w:p>
        </w:tc>
        <w:tc>
          <w:tcPr>
            <w:tcW w:w="1752"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165.520</w:t>
            </w:r>
          </w:p>
        </w:tc>
      </w:tr>
      <w:tr w:rsidR="00D61215" w:rsidRPr="007266F8"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D61215" w:rsidRPr="007266F8" w:rsidRDefault="00D61215" w:rsidP="008C35CF">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76</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64</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82</w:t>
            </w:r>
          </w:p>
        </w:tc>
        <w:tc>
          <w:tcPr>
            <w:tcW w:w="1752"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75</w:t>
            </w:r>
          </w:p>
        </w:tc>
      </w:tr>
      <w:tr w:rsidR="00D61215" w:rsidRPr="007266F8"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D61215" w:rsidRPr="007266F8" w:rsidRDefault="00D61215" w:rsidP="008C35CF">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Lot</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1.641.965</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1.395.308</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1.816.692</w:t>
            </w:r>
          </w:p>
        </w:tc>
        <w:tc>
          <w:tcPr>
            <w:tcW w:w="1752"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1.655.195</w:t>
            </w:r>
          </w:p>
        </w:tc>
      </w:tr>
      <w:tr w:rsidR="00D61215" w:rsidRPr="007266F8"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D61215" w:rsidRPr="007266F8" w:rsidRDefault="00D61215" w:rsidP="008C35CF">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Hourly Lot</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760</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638</w:t>
            </w:r>
          </w:p>
        </w:tc>
        <w:tc>
          <w:tcPr>
            <w:tcW w:w="1749"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822</w:t>
            </w:r>
          </w:p>
        </w:tc>
        <w:tc>
          <w:tcPr>
            <w:tcW w:w="1752" w:type="dxa"/>
            <w:tcBorders>
              <w:top w:val="nil"/>
              <w:left w:val="nil"/>
              <w:bottom w:val="single" w:sz="8" w:space="0" w:color="BDD6EE"/>
              <w:right w:val="single" w:sz="8" w:space="0" w:color="BDD6EE"/>
            </w:tcBorders>
            <w:shd w:val="clear" w:color="auto" w:fill="auto"/>
            <w:noWrap/>
            <w:hideMark/>
          </w:tcPr>
          <w:p w:rsidR="00D61215" w:rsidRPr="007266F8" w:rsidRDefault="00D61215" w:rsidP="008C35CF">
            <w:pPr>
              <w:spacing w:after="0" w:line="240" w:lineRule="auto"/>
              <w:jc w:val="center"/>
              <w:rPr>
                <w:rFonts w:ascii="Calibri" w:eastAsia="Times New Roman" w:hAnsi="Calibri" w:cs="Calibri"/>
                <w:color w:val="000000"/>
                <w:sz w:val="18"/>
                <w:szCs w:val="18"/>
                <w:lang w:val="en-GB" w:eastAsia="tr-TR"/>
              </w:rPr>
            </w:pPr>
            <w:r w:rsidRPr="007266F8">
              <w:rPr>
                <w:rFonts w:ascii="Calibri" w:eastAsia="Times New Roman" w:hAnsi="Calibri" w:cs="Calibri"/>
                <w:color w:val="000000"/>
                <w:sz w:val="18"/>
                <w:szCs w:val="18"/>
                <w:lang w:val="en-GB" w:eastAsia="tr-TR"/>
              </w:rPr>
              <w:t>749</w:t>
            </w:r>
          </w:p>
        </w:tc>
      </w:tr>
    </w:tbl>
    <w:p w:rsidR="00DD5FCF" w:rsidRPr="007266F8" w:rsidRDefault="00313215" w:rsidP="008426E4">
      <w:pPr>
        <w:pStyle w:val="Caption"/>
        <w:spacing w:after="0"/>
        <w:jc w:val="center"/>
        <w:rPr>
          <w:rFonts w:cstheme="minorHAnsi"/>
          <w:lang w:val="en-GB"/>
        </w:rPr>
      </w:pPr>
      <w:bookmarkStart w:id="23" w:name="_Toc102051379"/>
      <w:r w:rsidRPr="007266F8">
        <w:rPr>
          <w:rFonts w:cstheme="minorHAnsi"/>
          <w:lang w:val="en-GB"/>
        </w:rPr>
        <w:t>Tabl</w:t>
      </w:r>
      <w:r w:rsidR="00F46956" w:rsidRPr="007266F8">
        <w:rPr>
          <w:rFonts w:cstheme="minorHAnsi"/>
          <w:lang w:val="en-GB"/>
        </w:rPr>
        <w:t>e</w:t>
      </w:r>
      <w:r w:rsidRPr="007266F8">
        <w:rPr>
          <w:rFonts w:cstheme="minorHAnsi"/>
          <w:lang w:val="en-GB"/>
        </w:rPr>
        <w:t xml:space="preserve"> </w:t>
      </w:r>
      <w:r w:rsidR="00D00A6F" w:rsidRPr="007266F8">
        <w:rPr>
          <w:rFonts w:cstheme="minorHAnsi"/>
          <w:lang w:val="en-GB"/>
        </w:rPr>
        <w:fldChar w:fldCharType="begin"/>
      </w:r>
      <w:r w:rsidR="00B56224" w:rsidRPr="007266F8">
        <w:rPr>
          <w:rFonts w:cstheme="minorHAnsi"/>
          <w:lang w:val="en-GB"/>
        </w:rPr>
        <w:instrText xml:space="preserve"> SEQ Tablo \* ARABIC </w:instrText>
      </w:r>
      <w:r w:rsidR="00D00A6F" w:rsidRPr="007266F8">
        <w:rPr>
          <w:rFonts w:cstheme="minorHAnsi"/>
          <w:lang w:val="en-GB"/>
        </w:rPr>
        <w:fldChar w:fldCharType="separate"/>
      </w:r>
      <w:r w:rsidR="00D12D06" w:rsidRPr="007266F8">
        <w:rPr>
          <w:rFonts w:cstheme="minorHAnsi"/>
          <w:noProof/>
          <w:lang w:val="en-GB"/>
        </w:rPr>
        <w:t>12</w:t>
      </w:r>
      <w:r w:rsidR="00D00A6F" w:rsidRPr="007266F8">
        <w:rPr>
          <w:rFonts w:cstheme="minorHAnsi"/>
          <w:lang w:val="en-GB"/>
        </w:rPr>
        <w:fldChar w:fldCharType="end"/>
      </w:r>
      <w:r w:rsidRPr="007266F8">
        <w:rPr>
          <w:rFonts w:cstheme="minorHAnsi"/>
          <w:lang w:val="en-GB"/>
        </w:rPr>
        <w:t xml:space="preserve">  </w:t>
      </w:r>
      <w:r w:rsidR="00F46956" w:rsidRPr="007266F8">
        <w:rPr>
          <w:rFonts w:cstheme="minorHAnsi"/>
          <w:lang w:val="en-GB"/>
        </w:rPr>
        <w:t>Exemplary Participant Quarterly Position Limits</w:t>
      </w:r>
      <w:bookmarkEnd w:id="23"/>
      <w:r w:rsidR="00F46956" w:rsidRPr="007266F8">
        <w:rPr>
          <w:rFonts w:cstheme="minorHAnsi"/>
          <w:lang w:val="en-GB"/>
        </w:rPr>
        <w:t xml:space="preserve"> </w:t>
      </w:r>
    </w:p>
    <w:p w:rsidR="00E66667" w:rsidRPr="007266F8" w:rsidRDefault="00E66667" w:rsidP="008426E4">
      <w:pPr>
        <w:spacing w:after="0"/>
        <w:rPr>
          <w:lang w:val="en-GB"/>
        </w:rPr>
      </w:pPr>
    </w:p>
    <w:p w:rsidR="008C35CF" w:rsidRPr="007266F8" w:rsidRDefault="00CD3AF1" w:rsidP="008426E4">
      <w:pPr>
        <w:ind w:firstLine="708"/>
        <w:jc w:val="both"/>
        <w:rPr>
          <w:rFonts w:cstheme="minorHAnsi"/>
          <w:lang w:val="en-GB"/>
        </w:rPr>
      </w:pPr>
      <w:r w:rsidRPr="007266F8">
        <w:rPr>
          <w:rFonts w:cstheme="minorHAnsi"/>
          <w:lang w:val="en-GB"/>
        </w:rPr>
        <w:t xml:space="preserve">Position limits which X Energy Inc can have for each month shall be calculated by </w:t>
      </w:r>
      <w:r w:rsidR="0048505C">
        <w:rPr>
          <w:rFonts w:cstheme="minorHAnsi"/>
          <w:lang w:val="en-GB"/>
        </w:rPr>
        <w:t>allocating</w:t>
      </w:r>
      <w:r w:rsidRPr="007266F8">
        <w:rPr>
          <w:rFonts w:cstheme="minorHAnsi"/>
          <w:lang w:val="en-GB"/>
        </w:rPr>
        <w:t xml:space="preserve"> the monthly contract position limit of X Energy Inc according to the monthly consumption characteristics</w:t>
      </w:r>
      <w:r w:rsidR="00313215" w:rsidRPr="007266F8">
        <w:rPr>
          <w:rFonts w:cstheme="minorHAnsi"/>
          <w:lang w:val="en-GB"/>
        </w:rPr>
        <w:t>.</w:t>
      </w:r>
    </w:p>
    <w:tbl>
      <w:tblPr>
        <w:tblW w:w="9002" w:type="dxa"/>
        <w:tblInd w:w="-10" w:type="dxa"/>
        <w:tblCellMar>
          <w:left w:w="70" w:type="dxa"/>
          <w:right w:w="70" w:type="dxa"/>
        </w:tblCellMar>
        <w:tblLook w:val="04A0" w:firstRow="1" w:lastRow="0" w:firstColumn="1" w:lastColumn="0" w:noHBand="0" w:noVBand="1"/>
      </w:tblPr>
      <w:tblGrid>
        <w:gridCol w:w="2689"/>
        <w:gridCol w:w="2540"/>
        <w:gridCol w:w="1251"/>
        <w:gridCol w:w="1440"/>
        <w:gridCol w:w="1082"/>
      </w:tblGrid>
      <w:tr w:rsidR="000532DB" w:rsidRPr="007266F8" w:rsidTr="000532DB">
        <w:trPr>
          <w:trHeight w:val="161"/>
        </w:trPr>
        <w:tc>
          <w:tcPr>
            <w:tcW w:w="9002"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0532DB" w:rsidRPr="007266F8" w:rsidRDefault="000532DB" w:rsidP="00D61215">
            <w:pPr>
              <w:spacing w:after="0" w:line="240" w:lineRule="auto"/>
              <w:jc w:val="center"/>
              <w:rPr>
                <w:rFonts w:ascii="Calibri" w:eastAsia="Times New Roman" w:hAnsi="Calibri" w:cs="Calibri"/>
                <w:b/>
                <w:bCs/>
                <w:color w:val="000000"/>
                <w:lang w:val="en-GB" w:eastAsia="tr-TR"/>
              </w:rPr>
            </w:pPr>
            <w:r w:rsidRPr="007266F8">
              <w:rPr>
                <w:rFonts w:ascii="Calibri" w:eastAsia="Times New Roman" w:hAnsi="Calibri" w:cs="Calibri"/>
                <w:b/>
                <w:bCs/>
                <w:color w:val="000000"/>
                <w:lang w:val="en-GB" w:eastAsia="tr-TR"/>
              </w:rPr>
              <w:t xml:space="preserve">X </w:t>
            </w:r>
            <w:r w:rsidR="00490800">
              <w:rPr>
                <w:rFonts w:ascii="Calibri" w:eastAsia="Times New Roman" w:hAnsi="Calibri" w:cs="Calibri"/>
                <w:b/>
                <w:bCs/>
                <w:color w:val="000000"/>
                <w:lang w:val="en-GB" w:eastAsia="tr-TR"/>
              </w:rPr>
              <w:t>Energy Inc’s</w:t>
            </w:r>
            <w:r w:rsidR="00D61215" w:rsidRPr="007266F8">
              <w:rPr>
                <w:rFonts w:ascii="Calibri" w:eastAsia="Times New Roman" w:hAnsi="Calibri" w:cs="Calibri"/>
                <w:b/>
                <w:bCs/>
                <w:color w:val="000000"/>
                <w:lang w:val="en-GB" w:eastAsia="tr-TR"/>
              </w:rPr>
              <w:t xml:space="preserve"> Monthly Contracts Position Limits </w:t>
            </w:r>
          </w:p>
        </w:tc>
      </w:tr>
      <w:tr w:rsidR="000532DB" w:rsidRPr="007266F8" w:rsidTr="000532DB">
        <w:trPr>
          <w:trHeight w:val="169"/>
        </w:trPr>
        <w:tc>
          <w:tcPr>
            <w:tcW w:w="2689" w:type="dxa"/>
            <w:tcBorders>
              <w:top w:val="nil"/>
              <w:left w:val="single" w:sz="8" w:space="0" w:color="BDD6EE"/>
              <w:bottom w:val="single" w:sz="8" w:space="0" w:color="BDD6EE"/>
              <w:right w:val="single" w:sz="8" w:space="0" w:color="BDD6EE"/>
            </w:tcBorders>
            <w:shd w:val="clear" w:color="000000" w:fill="DEEAF6"/>
            <w:vAlign w:val="center"/>
            <w:hideMark/>
          </w:tcPr>
          <w:p w:rsidR="000532DB" w:rsidRPr="007266F8" w:rsidRDefault="000532DB" w:rsidP="000532DB">
            <w:pPr>
              <w:spacing w:after="0" w:line="240" w:lineRule="auto"/>
              <w:jc w:val="center"/>
              <w:rPr>
                <w:rFonts w:ascii="Calibri" w:eastAsia="Times New Roman" w:hAnsi="Calibri" w:cs="Calibri"/>
                <w:b/>
                <w:bCs/>
                <w:i/>
                <w:iCs/>
                <w:color w:val="000000"/>
                <w:sz w:val="18"/>
                <w:szCs w:val="18"/>
                <w:lang w:val="en-GB" w:eastAsia="tr-TR"/>
              </w:rPr>
            </w:pPr>
            <w:r w:rsidRPr="007266F8">
              <w:rPr>
                <w:rFonts w:ascii="Calibri" w:eastAsia="Times New Roman" w:hAnsi="Calibri" w:cs="Calibri"/>
                <w:b/>
                <w:bCs/>
                <w:i/>
                <w:iCs/>
                <w:color w:val="000000"/>
                <w:sz w:val="18"/>
                <w:szCs w:val="18"/>
                <w:lang w:val="en-GB" w:eastAsia="tr-TR"/>
              </w:rPr>
              <w:t>2021</w:t>
            </w:r>
          </w:p>
        </w:tc>
        <w:tc>
          <w:tcPr>
            <w:tcW w:w="2540" w:type="dxa"/>
            <w:tcBorders>
              <w:top w:val="nil"/>
              <w:left w:val="nil"/>
              <w:bottom w:val="single" w:sz="8" w:space="0" w:color="BDD6EE"/>
              <w:right w:val="single" w:sz="8" w:space="0" w:color="BDD6EE"/>
            </w:tcBorders>
            <w:shd w:val="clear" w:color="000000" w:fill="DEEAF6"/>
            <w:noWrap/>
            <w:vAlign w:val="center"/>
            <w:hideMark/>
          </w:tcPr>
          <w:p w:rsidR="000532DB" w:rsidRPr="007266F8" w:rsidRDefault="000532DB" w:rsidP="000532DB">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MWh</w:t>
            </w:r>
          </w:p>
        </w:tc>
        <w:tc>
          <w:tcPr>
            <w:tcW w:w="1251" w:type="dxa"/>
            <w:tcBorders>
              <w:top w:val="nil"/>
              <w:left w:val="nil"/>
              <w:bottom w:val="single" w:sz="8" w:space="0" w:color="BDD6EE"/>
              <w:right w:val="single" w:sz="8" w:space="0" w:color="BDD6EE"/>
            </w:tcBorders>
            <w:shd w:val="clear" w:color="000000" w:fill="DEEAF6"/>
            <w:noWrap/>
            <w:vAlign w:val="center"/>
            <w:hideMark/>
          </w:tcPr>
          <w:p w:rsidR="000532DB" w:rsidRPr="007266F8" w:rsidRDefault="000532DB" w:rsidP="000532DB">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MW</w:t>
            </w:r>
          </w:p>
        </w:tc>
        <w:tc>
          <w:tcPr>
            <w:tcW w:w="1440" w:type="dxa"/>
            <w:tcBorders>
              <w:top w:val="nil"/>
              <w:left w:val="nil"/>
              <w:bottom w:val="single" w:sz="8" w:space="0" w:color="BDD6EE"/>
              <w:right w:val="single" w:sz="8" w:space="0" w:color="BDD6EE"/>
            </w:tcBorders>
            <w:shd w:val="clear" w:color="000000" w:fill="DEEAF6"/>
            <w:noWrap/>
            <w:vAlign w:val="center"/>
            <w:hideMark/>
          </w:tcPr>
          <w:p w:rsidR="000532DB" w:rsidRPr="007266F8" w:rsidRDefault="000532DB" w:rsidP="000532DB">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Lot</w:t>
            </w:r>
          </w:p>
        </w:tc>
        <w:tc>
          <w:tcPr>
            <w:tcW w:w="1082" w:type="dxa"/>
            <w:tcBorders>
              <w:top w:val="nil"/>
              <w:left w:val="nil"/>
              <w:bottom w:val="single" w:sz="8" w:space="0" w:color="BDD6EE"/>
              <w:right w:val="single" w:sz="8" w:space="0" w:color="BDD6EE"/>
            </w:tcBorders>
            <w:shd w:val="clear" w:color="000000" w:fill="DEEAF6"/>
            <w:noWrap/>
            <w:vAlign w:val="center"/>
            <w:hideMark/>
          </w:tcPr>
          <w:p w:rsidR="000532DB" w:rsidRPr="007266F8" w:rsidRDefault="00D61215" w:rsidP="000532DB">
            <w:pPr>
              <w:spacing w:after="0" w:line="240" w:lineRule="auto"/>
              <w:jc w:val="center"/>
              <w:rPr>
                <w:rFonts w:ascii="Calibri" w:eastAsia="Times New Roman" w:hAnsi="Calibri" w:cs="Calibri"/>
                <w:b/>
                <w:bCs/>
                <w:color w:val="000000"/>
                <w:sz w:val="18"/>
                <w:szCs w:val="18"/>
                <w:lang w:val="en-GB" w:eastAsia="tr-TR"/>
              </w:rPr>
            </w:pPr>
            <w:r w:rsidRPr="007266F8">
              <w:rPr>
                <w:rFonts w:ascii="Calibri" w:eastAsia="Times New Roman" w:hAnsi="Calibri" w:cs="Calibri"/>
                <w:b/>
                <w:bCs/>
                <w:color w:val="000000"/>
                <w:sz w:val="18"/>
                <w:szCs w:val="18"/>
                <w:lang w:val="en-GB" w:eastAsia="tr-TR"/>
              </w:rPr>
              <w:t xml:space="preserve">Hourly </w:t>
            </w:r>
            <w:r w:rsidR="000532DB" w:rsidRPr="007266F8">
              <w:rPr>
                <w:rFonts w:ascii="Calibri" w:eastAsia="Times New Roman" w:hAnsi="Calibri" w:cs="Calibri"/>
                <w:b/>
                <w:bCs/>
                <w:color w:val="000000"/>
                <w:sz w:val="18"/>
                <w:szCs w:val="18"/>
                <w:lang w:val="en-GB" w:eastAsia="tr-TR"/>
              </w:rPr>
              <w:t>Lot</w:t>
            </w:r>
          </w:p>
        </w:tc>
      </w:tr>
      <w:tr w:rsidR="008C35CF" w:rsidRPr="007266F8"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Position Limit for January</w:t>
            </w:r>
            <w:r w:rsidR="008C35CF" w:rsidRPr="007266F8">
              <w:rPr>
                <w:rFonts w:ascii="Calibri" w:eastAsia="Times New Roman" w:hAnsi="Calibri" w:cs="Calibri"/>
                <w:b/>
                <w:bCs/>
                <w:i/>
                <w:iCs/>
                <w:color w:val="000000"/>
                <w:sz w:val="20"/>
                <w:szCs w:val="20"/>
                <w:lang w:val="en-GB" w:eastAsia="tr-TR"/>
              </w:rPr>
              <w:t xml:space="preserve">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116.861</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157</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1.168.614</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1.570</w:t>
            </w:r>
          </w:p>
        </w:tc>
      </w:tr>
      <w:tr w:rsidR="008C35CF" w:rsidRPr="007266F8"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February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111.186</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165</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1.111.864</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1.654</w:t>
            </w:r>
          </w:p>
        </w:tc>
      </w:tr>
      <w:tr w:rsidR="008C35CF" w:rsidRPr="007266F8"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March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101.577</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137</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1.015.773</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1.365</w:t>
            </w:r>
          </w:p>
        </w:tc>
      </w:tr>
      <w:tr w:rsidR="008C35CF" w:rsidRPr="007266F8"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April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82.767</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115</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827.669</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1.149</w:t>
            </w:r>
          </w:p>
        </w:tc>
      </w:tr>
      <w:tr w:rsidR="008C35CF" w:rsidRPr="007266F8"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Position Limit for May</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83.274</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112</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832.738</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1.119</w:t>
            </w:r>
          </w:p>
        </w:tc>
      </w:tr>
      <w:tr w:rsidR="008C35CF" w:rsidRPr="007266F8"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Position Limit for June</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105.437</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146</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1.054.365</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1.464</w:t>
            </w:r>
          </w:p>
        </w:tc>
      </w:tr>
      <w:tr w:rsidR="008C35CF" w:rsidRPr="007266F8"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July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123.327</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166</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1.233.268</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1.657</w:t>
            </w:r>
          </w:p>
        </w:tc>
      </w:tr>
      <w:tr w:rsidR="008C35CF" w:rsidRPr="007266F8"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August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126.518</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170</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1.265.178</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1.700</w:t>
            </w:r>
          </w:p>
        </w:tc>
      </w:tr>
      <w:tr w:rsidR="008C35CF" w:rsidRPr="007266F8"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September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119.361</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166</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1.193.612</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1.657</w:t>
            </w:r>
          </w:p>
        </w:tc>
      </w:tr>
      <w:tr w:rsidR="008C35CF" w:rsidRPr="007266F8"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October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104.260</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140</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1.042.596</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1.401</w:t>
            </w:r>
          </w:p>
        </w:tc>
      </w:tr>
      <w:tr w:rsidR="008C35CF" w:rsidRPr="007266F8"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November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108.636</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151</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1.086.364</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1.508</w:t>
            </w:r>
          </w:p>
        </w:tc>
      </w:tr>
      <w:tr w:rsidR="008C35CF" w:rsidRPr="007266F8"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7266F8" w:rsidRDefault="00BF1961" w:rsidP="008C35C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December </w:t>
            </w:r>
          </w:p>
        </w:tc>
        <w:tc>
          <w:tcPr>
            <w:tcW w:w="25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118.627</w:t>
            </w:r>
          </w:p>
        </w:tc>
        <w:tc>
          <w:tcPr>
            <w:tcW w:w="1251"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159</w:t>
            </w:r>
          </w:p>
        </w:tc>
        <w:tc>
          <w:tcPr>
            <w:tcW w:w="1440"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1.186.273</w:t>
            </w:r>
          </w:p>
        </w:tc>
        <w:tc>
          <w:tcPr>
            <w:tcW w:w="1082" w:type="dxa"/>
            <w:tcBorders>
              <w:top w:val="nil"/>
              <w:left w:val="nil"/>
              <w:bottom w:val="single" w:sz="8" w:space="0" w:color="BDD6EE"/>
              <w:right w:val="single" w:sz="8" w:space="0" w:color="BDD6EE"/>
            </w:tcBorders>
            <w:shd w:val="clear" w:color="auto" w:fill="auto"/>
            <w:noWrap/>
            <w:hideMark/>
          </w:tcPr>
          <w:p w:rsidR="008C35CF" w:rsidRPr="007266F8" w:rsidRDefault="008C35CF" w:rsidP="008C35C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1.594</w:t>
            </w:r>
          </w:p>
        </w:tc>
      </w:tr>
    </w:tbl>
    <w:p w:rsidR="005E37F4" w:rsidRPr="007266F8" w:rsidRDefault="00313215" w:rsidP="008426E4">
      <w:pPr>
        <w:pStyle w:val="Caption"/>
        <w:spacing w:after="0"/>
        <w:jc w:val="center"/>
        <w:rPr>
          <w:rFonts w:cstheme="minorHAnsi"/>
          <w:lang w:val="en-GB"/>
        </w:rPr>
      </w:pPr>
      <w:bookmarkStart w:id="24" w:name="_Toc102051380"/>
      <w:r w:rsidRPr="007266F8">
        <w:rPr>
          <w:rFonts w:cstheme="minorHAnsi"/>
          <w:lang w:val="en-GB"/>
        </w:rPr>
        <w:t>Tabl</w:t>
      </w:r>
      <w:r w:rsidR="00F46956" w:rsidRPr="007266F8">
        <w:rPr>
          <w:rFonts w:cstheme="minorHAnsi"/>
          <w:lang w:val="en-GB"/>
        </w:rPr>
        <w:t>e</w:t>
      </w:r>
      <w:r w:rsidRPr="007266F8">
        <w:rPr>
          <w:rFonts w:cstheme="minorHAnsi"/>
          <w:lang w:val="en-GB"/>
        </w:rPr>
        <w:t xml:space="preserve"> </w:t>
      </w:r>
      <w:r w:rsidR="00D00A6F" w:rsidRPr="007266F8">
        <w:rPr>
          <w:rFonts w:cstheme="minorHAnsi"/>
          <w:lang w:val="en-GB"/>
        </w:rPr>
        <w:fldChar w:fldCharType="begin"/>
      </w:r>
      <w:r w:rsidR="00B56224" w:rsidRPr="007266F8">
        <w:rPr>
          <w:rFonts w:cstheme="minorHAnsi"/>
          <w:lang w:val="en-GB"/>
        </w:rPr>
        <w:instrText xml:space="preserve"> SEQ Tablo \* ARABIC </w:instrText>
      </w:r>
      <w:r w:rsidR="00D00A6F" w:rsidRPr="007266F8">
        <w:rPr>
          <w:rFonts w:cstheme="minorHAnsi"/>
          <w:lang w:val="en-GB"/>
        </w:rPr>
        <w:fldChar w:fldCharType="separate"/>
      </w:r>
      <w:r w:rsidR="00D12D06" w:rsidRPr="007266F8">
        <w:rPr>
          <w:rFonts w:cstheme="minorHAnsi"/>
          <w:noProof/>
          <w:lang w:val="en-GB"/>
        </w:rPr>
        <w:t>13</w:t>
      </w:r>
      <w:r w:rsidR="00D00A6F" w:rsidRPr="007266F8">
        <w:rPr>
          <w:rFonts w:cstheme="minorHAnsi"/>
          <w:lang w:val="en-GB"/>
        </w:rPr>
        <w:fldChar w:fldCharType="end"/>
      </w:r>
      <w:r w:rsidRPr="007266F8">
        <w:rPr>
          <w:rFonts w:cstheme="minorHAnsi"/>
          <w:lang w:val="en-GB"/>
        </w:rPr>
        <w:t xml:space="preserve"> </w:t>
      </w:r>
      <w:r w:rsidR="00F46956" w:rsidRPr="007266F8">
        <w:rPr>
          <w:rFonts w:cstheme="minorHAnsi"/>
          <w:lang w:val="en-GB"/>
        </w:rPr>
        <w:t>Exemplary Participant Monthly Position Limits</w:t>
      </w:r>
      <w:bookmarkEnd w:id="24"/>
    </w:p>
    <w:p w:rsidR="0082481D" w:rsidRPr="007266F8" w:rsidRDefault="0082481D" w:rsidP="008426E4">
      <w:pPr>
        <w:spacing w:after="0"/>
        <w:rPr>
          <w:rFonts w:cstheme="minorHAnsi"/>
          <w:lang w:val="en-GB"/>
        </w:rPr>
      </w:pPr>
    </w:p>
    <w:p w:rsidR="00313215" w:rsidRPr="007266F8" w:rsidRDefault="00BF1961" w:rsidP="00BF1961">
      <w:pPr>
        <w:pStyle w:val="Heading4"/>
        <w:rPr>
          <w:rFonts w:cstheme="majorHAnsi"/>
          <w:lang w:val="en-GB"/>
        </w:rPr>
      </w:pPr>
      <w:r w:rsidRPr="007266F8">
        <w:rPr>
          <w:rFonts w:cstheme="majorHAnsi"/>
          <w:lang w:val="en-GB"/>
        </w:rPr>
        <w:t>Example Scenario</w:t>
      </w:r>
      <w:r w:rsidR="00313215" w:rsidRPr="007266F8">
        <w:rPr>
          <w:rFonts w:cstheme="majorHAnsi"/>
          <w:lang w:val="en-GB"/>
        </w:rPr>
        <w:t xml:space="preserve"> 2 (Y </w:t>
      </w:r>
      <w:r w:rsidRPr="007266F8">
        <w:rPr>
          <w:rFonts w:cstheme="majorHAnsi"/>
          <w:lang w:val="en-GB"/>
        </w:rPr>
        <w:t>Energy Inc.</w:t>
      </w:r>
      <w:r w:rsidR="00313215" w:rsidRPr="007266F8">
        <w:rPr>
          <w:rFonts w:cstheme="majorHAnsi"/>
          <w:lang w:val="en-GB"/>
        </w:rPr>
        <w:t>)</w:t>
      </w:r>
    </w:p>
    <w:p w:rsidR="00313215" w:rsidRPr="007266F8" w:rsidRDefault="006C74AD" w:rsidP="00B022B5">
      <w:pPr>
        <w:ind w:firstLine="708"/>
        <w:jc w:val="both"/>
        <w:rPr>
          <w:rFonts w:cstheme="minorHAnsi"/>
          <w:lang w:val="en-GB"/>
        </w:rPr>
      </w:pPr>
      <w:r w:rsidRPr="007266F8">
        <w:rPr>
          <w:rFonts w:cstheme="minorHAnsi"/>
          <w:lang w:val="en-GB"/>
        </w:rPr>
        <w:t xml:space="preserve">Market limits for the </w:t>
      </w:r>
      <w:r w:rsidR="008426E4" w:rsidRPr="007266F8">
        <w:rPr>
          <w:rFonts w:cstheme="minorHAnsi"/>
          <w:lang w:val="en-GB"/>
        </w:rPr>
        <w:t>Supply-license-holder Y Energy Inc or Production-license-holder Y Energy Inc with an installed power of 20 MW</w:t>
      </w:r>
      <w:r w:rsidR="00B60449" w:rsidRPr="007266F8">
        <w:rPr>
          <w:rFonts w:cstheme="minorHAnsi"/>
          <w:lang w:val="en-GB"/>
        </w:rPr>
        <w:t>,</w:t>
      </w:r>
      <w:r w:rsidR="008426E4" w:rsidRPr="007266F8">
        <w:rPr>
          <w:rFonts w:cstheme="minorHAnsi"/>
          <w:lang w:val="en-GB"/>
        </w:rPr>
        <w:t xml:space="preserve"> that has not previously carried out trade at organised markets operated by the market operator (new legal entity, newly registered, or never traded before though </w:t>
      </w:r>
      <w:r w:rsidR="00E05F88" w:rsidRPr="007266F8">
        <w:rPr>
          <w:rFonts w:cstheme="minorHAnsi"/>
          <w:lang w:val="en-GB"/>
        </w:rPr>
        <w:t xml:space="preserve">already </w:t>
      </w:r>
      <w:r w:rsidR="008426E4" w:rsidRPr="007266F8">
        <w:rPr>
          <w:rFonts w:cstheme="minorHAnsi"/>
          <w:lang w:val="en-GB"/>
        </w:rPr>
        <w:t xml:space="preserve">registered) </w:t>
      </w:r>
      <w:r w:rsidR="00B022B5" w:rsidRPr="007266F8">
        <w:rPr>
          <w:rFonts w:cstheme="minorHAnsi"/>
          <w:lang w:val="en-GB"/>
        </w:rPr>
        <w:t xml:space="preserve">: </w:t>
      </w:r>
      <w:r w:rsidR="008426E4" w:rsidRPr="007266F8">
        <w:rPr>
          <w:rFonts w:cstheme="minorHAnsi"/>
          <w:lang w:val="en-GB"/>
        </w:rPr>
        <w:t xml:space="preserve"> </w:t>
      </w:r>
    </w:p>
    <w:p w:rsidR="00313215" w:rsidRPr="007266F8" w:rsidRDefault="00E05F88" w:rsidP="00E05F88">
      <w:pPr>
        <w:jc w:val="both"/>
        <w:rPr>
          <w:rFonts w:cstheme="minorHAnsi"/>
          <w:lang w:val="en-GB"/>
        </w:rPr>
      </w:pPr>
      <w:r w:rsidRPr="007266F8">
        <w:rPr>
          <w:rFonts w:cstheme="minorHAnsi"/>
          <w:lang w:val="en-GB"/>
        </w:rPr>
        <w:t xml:space="preserve">For the supply-license-holder market participant, the market limit is 50 Lots (5 MWh) per hour.  </w:t>
      </w:r>
    </w:p>
    <w:p w:rsidR="00313215" w:rsidRPr="007266F8" w:rsidRDefault="00E05F88" w:rsidP="00E05F88">
      <w:pPr>
        <w:jc w:val="both"/>
        <w:rPr>
          <w:rFonts w:cstheme="minorHAnsi"/>
          <w:lang w:val="en-GB"/>
        </w:rPr>
      </w:pPr>
      <w:r w:rsidRPr="007266F8">
        <w:rPr>
          <w:rFonts w:cstheme="minorHAnsi"/>
          <w:lang w:val="en-GB"/>
        </w:rPr>
        <w:t xml:space="preserve">For the production-license-holder market participant, the market limit is 20/4=5 MW per hour. </w:t>
      </w:r>
    </w:p>
    <w:p w:rsidR="00313215" w:rsidRPr="007266F8" w:rsidRDefault="0039794A" w:rsidP="0039794A">
      <w:pPr>
        <w:jc w:val="both"/>
        <w:rPr>
          <w:rFonts w:cstheme="minorHAnsi"/>
          <w:lang w:val="en-GB"/>
        </w:rPr>
      </w:pPr>
      <w:r w:rsidRPr="007266F8">
        <w:rPr>
          <w:rFonts w:cstheme="minorHAnsi"/>
          <w:lang w:val="en-GB"/>
        </w:rPr>
        <w:t xml:space="preserve">For the position limits of Y Energy Inc, first the annual total position limits shall be calculated. It would be calculated as </w:t>
      </w:r>
      <w:r w:rsidR="004E2DBC" w:rsidRPr="007266F8">
        <w:rPr>
          <w:rFonts w:cstheme="minorHAnsi"/>
          <w:lang w:val="en-GB"/>
        </w:rPr>
        <w:t>365*24*5=43.800 MWh</w:t>
      </w:r>
      <w:r w:rsidR="00A47D09" w:rsidRPr="007266F8">
        <w:rPr>
          <w:rFonts w:cstheme="minorHAnsi"/>
          <w:lang w:val="en-GB"/>
        </w:rPr>
        <w:t>.</w:t>
      </w:r>
      <w:r w:rsidR="004E2DBC" w:rsidRPr="007266F8">
        <w:rPr>
          <w:rFonts w:cstheme="minorHAnsi"/>
          <w:lang w:val="en-GB"/>
        </w:rPr>
        <w:t xml:space="preserve"> </w:t>
      </w:r>
      <w:r w:rsidRPr="007266F8">
        <w:rPr>
          <w:rFonts w:cstheme="minorHAnsi"/>
          <w:lang w:val="en-GB"/>
        </w:rPr>
        <w:t>Such calculated value shall be divided into the total market position limits to find relevant participant’s rate in the market, which rate is then multiplied by the market position limits to calculate the limits for the delivery periods</w:t>
      </w:r>
      <w:r w:rsidR="00A47D09" w:rsidRPr="007266F8">
        <w:rPr>
          <w:rFonts w:cstheme="minorHAnsi"/>
          <w:lang w:val="en-GB"/>
        </w:rPr>
        <w:t>.</w:t>
      </w:r>
    </w:p>
    <w:tbl>
      <w:tblPr>
        <w:tblW w:w="9214" w:type="dxa"/>
        <w:tblInd w:w="-10" w:type="dxa"/>
        <w:tblCellMar>
          <w:left w:w="70" w:type="dxa"/>
          <w:right w:w="70" w:type="dxa"/>
        </w:tblCellMar>
        <w:tblLook w:val="04A0" w:firstRow="1" w:lastRow="0" w:firstColumn="1" w:lastColumn="0" w:noHBand="0" w:noVBand="1"/>
      </w:tblPr>
      <w:tblGrid>
        <w:gridCol w:w="4395"/>
        <w:gridCol w:w="4819"/>
      </w:tblGrid>
      <w:tr w:rsidR="00D4236F" w:rsidRPr="007266F8" w:rsidTr="00D4236F">
        <w:trPr>
          <w:trHeight w:val="188"/>
        </w:trPr>
        <w:tc>
          <w:tcPr>
            <w:tcW w:w="9214" w:type="dxa"/>
            <w:gridSpan w:val="2"/>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D4236F" w:rsidRPr="007266F8" w:rsidRDefault="00D4236F" w:rsidP="00FF66DA">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Y </w:t>
            </w:r>
            <w:r w:rsidR="00490800">
              <w:rPr>
                <w:rFonts w:ascii="Calibri" w:eastAsia="Times New Roman" w:hAnsi="Calibri" w:cs="Calibri"/>
                <w:b/>
                <w:bCs/>
                <w:i/>
                <w:iCs/>
                <w:color w:val="000000"/>
                <w:sz w:val="20"/>
                <w:szCs w:val="20"/>
                <w:lang w:val="en-GB" w:eastAsia="tr-TR"/>
              </w:rPr>
              <w:t>Energy Inc’s</w:t>
            </w:r>
            <w:r w:rsidR="00FF66DA" w:rsidRPr="007266F8">
              <w:rPr>
                <w:rFonts w:ascii="Calibri" w:eastAsia="Times New Roman" w:hAnsi="Calibri" w:cs="Calibri"/>
                <w:b/>
                <w:bCs/>
                <w:i/>
                <w:iCs/>
                <w:color w:val="000000"/>
                <w:sz w:val="20"/>
                <w:szCs w:val="20"/>
                <w:lang w:val="en-GB" w:eastAsia="tr-TR"/>
              </w:rPr>
              <w:t xml:space="preserve"> Position Limits for Yearly Contract</w:t>
            </w:r>
          </w:p>
        </w:tc>
      </w:tr>
      <w:tr w:rsidR="00D4236F" w:rsidRPr="007266F8" w:rsidTr="00D4236F">
        <w:trPr>
          <w:trHeight w:val="447"/>
        </w:trPr>
        <w:tc>
          <w:tcPr>
            <w:tcW w:w="4395" w:type="dxa"/>
            <w:tcBorders>
              <w:top w:val="nil"/>
              <w:left w:val="single" w:sz="8" w:space="0" w:color="BDD6EE"/>
              <w:bottom w:val="single" w:sz="8" w:space="0" w:color="BDD6EE"/>
              <w:right w:val="single" w:sz="8" w:space="0" w:color="BDD6EE"/>
            </w:tcBorders>
            <w:shd w:val="clear" w:color="000000" w:fill="DEEAF6"/>
            <w:vAlign w:val="center"/>
            <w:hideMark/>
          </w:tcPr>
          <w:p w:rsidR="00D4236F" w:rsidRPr="007266F8" w:rsidRDefault="00D4236F" w:rsidP="00D4236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2021</w:t>
            </w:r>
          </w:p>
        </w:tc>
        <w:tc>
          <w:tcPr>
            <w:tcW w:w="4819" w:type="dxa"/>
            <w:tcBorders>
              <w:top w:val="nil"/>
              <w:left w:val="nil"/>
              <w:bottom w:val="single" w:sz="8" w:space="0" w:color="BDD6EE"/>
              <w:right w:val="single" w:sz="8" w:space="0" w:color="BDD6EE"/>
            </w:tcBorders>
            <w:shd w:val="clear" w:color="000000" w:fill="DEEAF6"/>
            <w:vAlign w:val="center"/>
            <w:hideMark/>
          </w:tcPr>
          <w:p w:rsidR="00D4236F" w:rsidRPr="007266F8" w:rsidRDefault="00D61215" w:rsidP="00D4236F">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Yearly Contract Position Limit </w:t>
            </w:r>
            <w:r w:rsidR="00D4236F" w:rsidRPr="007266F8">
              <w:rPr>
                <w:rFonts w:ascii="Calibri" w:eastAsia="Times New Roman" w:hAnsi="Calibri" w:cs="Calibri"/>
                <w:b/>
                <w:bCs/>
                <w:i/>
                <w:iCs/>
                <w:color w:val="000000"/>
                <w:sz w:val="20"/>
                <w:szCs w:val="20"/>
                <w:lang w:val="en-GB" w:eastAsia="tr-TR"/>
              </w:rPr>
              <w:t xml:space="preserve">  </w:t>
            </w:r>
          </w:p>
        </w:tc>
      </w:tr>
      <w:tr w:rsidR="00D4236F" w:rsidRPr="007266F8" w:rsidTr="00D4236F">
        <w:trPr>
          <w:trHeight w:val="300"/>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7266F8" w:rsidRDefault="00D4236F" w:rsidP="00D4236F">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MWh</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7266F8" w:rsidRDefault="00D4236F" w:rsidP="00D4236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4.350</w:t>
            </w:r>
          </w:p>
        </w:tc>
      </w:tr>
      <w:tr w:rsidR="00D4236F" w:rsidRPr="007266F8" w:rsidTr="00D4236F">
        <w:trPr>
          <w:trHeight w:val="179"/>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7266F8" w:rsidRDefault="00D4236F" w:rsidP="00D4236F">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7266F8" w:rsidRDefault="00D4236F" w:rsidP="00D4236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0,4</w:t>
            </w:r>
          </w:p>
        </w:tc>
      </w:tr>
      <w:tr w:rsidR="00D4236F" w:rsidRPr="007266F8" w:rsidTr="00D4236F">
        <w:trPr>
          <w:trHeight w:val="179"/>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7266F8" w:rsidRDefault="00D4236F" w:rsidP="00D4236F">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Lot</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7266F8" w:rsidRDefault="00D4236F" w:rsidP="00D4236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43.500</w:t>
            </w:r>
          </w:p>
        </w:tc>
      </w:tr>
      <w:tr w:rsidR="00D4236F" w:rsidRPr="007266F8" w:rsidTr="00D4236F">
        <w:trPr>
          <w:trHeight w:val="300"/>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7266F8" w:rsidRDefault="00D61215" w:rsidP="00D4236F">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Hourly</w:t>
            </w:r>
            <w:r w:rsidR="00D4236F" w:rsidRPr="007266F8">
              <w:rPr>
                <w:rFonts w:ascii="Calibri" w:eastAsia="Times New Roman" w:hAnsi="Calibri" w:cs="Calibri"/>
                <w:b/>
                <w:bCs/>
                <w:color w:val="000000"/>
                <w:sz w:val="20"/>
                <w:szCs w:val="20"/>
                <w:lang w:val="en-GB" w:eastAsia="tr-TR"/>
              </w:rPr>
              <w:t xml:space="preserve"> Lot</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7266F8" w:rsidRDefault="00D4236F" w:rsidP="00D4236F">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4</w:t>
            </w:r>
          </w:p>
        </w:tc>
      </w:tr>
    </w:tbl>
    <w:p w:rsidR="0082481D" w:rsidRPr="007266F8" w:rsidRDefault="00D4236F" w:rsidP="002D6B7B">
      <w:pPr>
        <w:pStyle w:val="Caption"/>
        <w:jc w:val="center"/>
        <w:rPr>
          <w:rFonts w:cstheme="minorHAnsi"/>
          <w:lang w:val="en-GB"/>
        </w:rPr>
      </w:pPr>
      <w:bookmarkStart w:id="25" w:name="_Toc102051381"/>
      <w:r w:rsidRPr="007266F8">
        <w:rPr>
          <w:rFonts w:cstheme="minorHAnsi"/>
          <w:lang w:val="en-GB"/>
        </w:rPr>
        <w:t>Tabl</w:t>
      </w:r>
      <w:r w:rsidR="002D6B7B" w:rsidRPr="007266F8">
        <w:rPr>
          <w:rFonts w:cstheme="minorHAnsi"/>
          <w:lang w:val="en-GB"/>
        </w:rPr>
        <w:t>e</w:t>
      </w:r>
      <w:r w:rsidRPr="007266F8">
        <w:rPr>
          <w:rFonts w:cstheme="minorHAnsi"/>
          <w:lang w:val="en-GB"/>
        </w:rPr>
        <w:t xml:space="preserve"> </w:t>
      </w:r>
      <w:r w:rsidR="00D00A6F" w:rsidRPr="007266F8">
        <w:rPr>
          <w:rFonts w:cstheme="minorHAnsi"/>
          <w:lang w:val="en-GB"/>
        </w:rPr>
        <w:fldChar w:fldCharType="begin"/>
      </w:r>
      <w:r w:rsidRPr="007266F8">
        <w:rPr>
          <w:rFonts w:cstheme="minorHAnsi"/>
          <w:lang w:val="en-GB"/>
        </w:rPr>
        <w:instrText xml:space="preserve"> SEQ Tablo \* ARABIC </w:instrText>
      </w:r>
      <w:r w:rsidR="00D00A6F" w:rsidRPr="007266F8">
        <w:rPr>
          <w:rFonts w:cstheme="minorHAnsi"/>
          <w:lang w:val="en-GB"/>
        </w:rPr>
        <w:fldChar w:fldCharType="separate"/>
      </w:r>
      <w:r w:rsidR="00D12D06" w:rsidRPr="007266F8">
        <w:rPr>
          <w:rFonts w:cstheme="minorHAnsi"/>
          <w:noProof/>
          <w:lang w:val="en-GB"/>
        </w:rPr>
        <w:t>14</w:t>
      </w:r>
      <w:r w:rsidR="00D00A6F" w:rsidRPr="007266F8">
        <w:rPr>
          <w:rFonts w:cstheme="minorHAnsi"/>
          <w:lang w:val="en-GB"/>
        </w:rPr>
        <w:fldChar w:fldCharType="end"/>
      </w:r>
      <w:r w:rsidRPr="007266F8">
        <w:rPr>
          <w:rFonts w:cstheme="minorHAnsi"/>
          <w:lang w:val="en-GB"/>
        </w:rPr>
        <w:t xml:space="preserve"> </w:t>
      </w:r>
      <w:r w:rsidR="002D6B7B" w:rsidRPr="007266F8">
        <w:rPr>
          <w:rFonts w:cstheme="minorHAnsi"/>
          <w:lang w:val="en-GB"/>
        </w:rPr>
        <w:t>Exemplary Participant Yearly Position Limits</w:t>
      </w:r>
      <w:bookmarkEnd w:id="25"/>
    </w:p>
    <w:tbl>
      <w:tblPr>
        <w:tblW w:w="9218" w:type="dxa"/>
        <w:tblInd w:w="-10" w:type="dxa"/>
        <w:tblCellMar>
          <w:left w:w="70" w:type="dxa"/>
          <w:right w:w="70" w:type="dxa"/>
        </w:tblCellMar>
        <w:tblLook w:val="04A0" w:firstRow="1" w:lastRow="0" w:firstColumn="1" w:lastColumn="0" w:noHBand="0" w:noVBand="1"/>
      </w:tblPr>
      <w:tblGrid>
        <w:gridCol w:w="1836"/>
        <w:gridCol w:w="1978"/>
        <w:gridCol w:w="1695"/>
        <w:gridCol w:w="1835"/>
        <w:gridCol w:w="1874"/>
      </w:tblGrid>
      <w:tr w:rsidR="004E2DBC" w:rsidRPr="00490800" w:rsidTr="004E2DBC">
        <w:trPr>
          <w:trHeight w:val="188"/>
        </w:trPr>
        <w:tc>
          <w:tcPr>
            <w:tcW w:w="9218"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4E2DBC" w:rsidRPr="007266F8" w:rsidRDefault="004E2DBC" w:rsidP="00CC1864">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Y </w:t>
            </w:r>
            <w:r w:rsidR="00490800">
              <w:rPr>
                <w:rFonts w:ascii="Calibri" w:eastAsia="Times New Roman" w:hAnsi="Calibri" w:cs="Calibri"/>
                <w:b/>
                <w:bCs/>
                <w:i/>
                <w:iCs/>
                <w:color w:val="000000"/>
                <w:sz w:val="20"/>
                <w:szCs w:val="20"/>
                <w:lang w:val="en-GB" w:eastAsia="tr-TR"/>
              </w:rPr>
              <w:t>Energy Inc’s</w:t>
            </w:r>
            <w:r w:rsidR="00CC1864" w:rsidRPr="007266F8">
              <w:rPr>
                <w:rFonts w:ascii="Calibri" w:eastAsia="Times New Roman" w:hAnsi="Calibri" w:cs="Calibri"/>
                <w:b/>
                <w:bCs/>
                <w:i/>
                <w:iCs/>
                <w:color w:val="000000"/>
                <w:sz w:val="20"/>
                <w:szCs w:val="20"/>
                <w:lang w:val="en-GB" w:eastAsia="tr-TR"/>
              </w:rPr>
              <w:t xml:space="preserve"> Position Limits for Quarterly Contracts</w:t>
            </w:r>
          </w:p>
        </w:tc>
      </w:tr>
      <w:tr w:rsidR="004E2DBC" w:rsidRPr="007266F8" w:rsidTr="004E2DBC">
        <w:trPr>
          <w:trHeight w:val="447"/>
        </w:trPr>
        <w:tc>
          <w:tcPr>
            <w:tcW w:w="1836" w:type="dxa"/>
            <w:tcBorders>
              <w:top w:val="nil"/>
              <w:left w:val="single" w:sz="8" w:space="0" w:color="BDD6EE"/>
              <w:bottom w:val="single" w:sz="8" w:space="0" w:color="BDD6EE"/>
              <w:right w:val="single" w:sz="8" w:space="0" w:color="BDD6EE"/>
            </w:tcBorders>
            <w:shd w:val="clear" w:color="000000" w:fill="DEEAF6"/>
            <w:vAlign w:val="center"/>
            <w:hideMark/>
          </w:tcPr>
          <w:p w:rsidR="004E2DBC" w:rsidRPr="007266F8" w:rsidRDefault="004E2DBC"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2021</w:t>
            </w:r>
          </w:p>
        </w:tc>
        <w:tc>
          <w:tcPr>
            <w:tcW w:w="1978" w:type="dxa"/>
            <w:tcBorders>
              <w:top w:val="nil"/>
              <w:left w:val="nil"/>
              <w:bottom w:val="single" w:sz="8" w:space="0" w:color="BDD6EE"/>
              <w:right w:val="single" w:sz="8" w:space="0" w:color="BDD6EE"/>
            </w:tcBorders>
            <w:shd w:val="clear" w:color="000000" w:fill="DEEAF6"/>
            <w:vAlign w:val="center"/>
            <w:hideMark/>
          </w:tcPr>
          <w:p w:rsidR="004E2DBC" w:rsidRPr="007266F8" w:rsidRDefault="003329EC"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1</w:t>
            </w:r>
            <w:r w:rsidRPr="007266F8">
              <w:rPr>
                <w:rFonts w:ascii="Calibri" w:eastAsia="Times New Roman" w:hAnsi="Calibri" w:cs="Calibri"/>
                <w:b/>
                <w:bCs/>
                <w:i/>
                <w:iCs/>
                <w:color w:val="000000"/>
                <w:sz w:val="20"/>
                <w:szCs w:val="20"/>
                <w:vertAlign w:val="superscript"/>
                <w:lang w:val="en-GB" w:eastAsia="tr-TR"/>
              </w:rPr>
              <w:t xml:space="preserve">st </w:t>
            </w:r>
            <w:r w:rsidRPr="007266F8">
              <w:rPr>
                <w:rFonts w:ascii="Calibri" w:eastAsia="Times New Roman" w:hAnsi="Calibri" w:cs="Calibri"/>
                <w:b/>
                <w:bCs/>
                <w:i/>
                <w:iCs/>
                <w:color w:val="000000"/>
                <w:sz w:val="20"/>
                <w:szCs w:val="20"/>
                <w:lang w:val="en-GB" w:eastAsia="tr-TR"/>
              </w:rPr>
              <w:t>Quarter Position Limit</w:t>
            </w:r>
            <w:r w:rsidR="004E2DBC" w:rsidRPr="007266F8">
              <w:rPr>
                <w:rFonts w:ascii="Calibri" w:eastAsia="Times New Roman" w:hAnsi="Calibri" w:cs="Calibri"/>
                <w:b/>
                <w:bCs/>
                <w:i/>
                <w:iCs/>
                <w:color w:val="000000"/>
                <w:sz w:val="20"/>
                <w:szCs w:val="20"/>
                <w:lang w:val="en-GB" w:eastAsia="tr-TR"/>
              </w:rPr>
              <w:t xml:space="preserve">  </w:t>
            </w:r>
          </w:p>
        </w:tc>
        <w:tc>
          <w:tcPr>
            <w:tcW w:w="1695" w:type="dxa"/>
            <w:tcBorders>
              <w:top w:val="nil"/>
              <w:left w:val="nil"/>
              <w:bottom w:val="single" w:sz="8" w:space="0" w:color="BDD6EE"/>
              <w:right w:val="single" w:sz="8" w:space="0" w:color="BDD6EE"/>
            </w:tcBorders>
            <w:shd w:val="clear" w:color="000000" w:fill="DEEAF6"/>
            <w:vAlign w:val="center"/>
            <w:hideMark/>
          </w:tcPr>
          <w:p w:rsidR="004E2DBC" w:rsidRPr="007266F8" w:rsidRDefault="003329EC"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2</w:t>
            </w:r>
            <w:r w:rsidRPr="007266F8">
              <w:rPr>
                <w:rFonts w:ascii="Calibri" w:eastAsia="Times New Roman" w:hAnsi="Calibri" w:cs="Calibri"/>
                <w:b/>
                <w:bCs/>
                <w:i/>
                <w:iCs/>
                <w:color w:val="000000"/>
                <w:sz w:val="20"/>
                <w:szCs w:val="20"/>
                <w:vertAlign w:val="superscript"/>
                <w:lang w:val="en-GB" w:eastAsia="tr-TR"/>
              </w:rPr>
              <w:t>nd</w:t>
            </w:r>
            <w:r w:rsidRPr="007266F8">
              <w:rPr>
                <w:rFonts w:ascii="Calibri" w:eastAsia="Times New Roman" w:hAnsi="Calibri" w:cs="Calibri"/>
                <w:b/>
                <w:bCs/>
                <w:i/>
                <w:iCs/>
                <w:color w:val="000000"/>
                <w:sz w:val="20"/>
                <w:szCs w:val="20"/>
                <w:lang w:val="en-GB" w:eastAsia="tr-TR"/>
              </w:rPr>
              <w:t xml:space="preserve"> Quarter Position Limit</w:t>
            </w:r>
          </w:p>
        </w:tc>
        <w:tc>
          <w:tcPr>
            <w:tcW w:w="1835" w:type="dxa"/>
            <w:tcBorders>
              <w:top w:val="nil"/>
              <w:left w:val="nil"/>
              <w:bottom w:val="single" w:sz="8" w:space="0" w:color="BDD6EE"/>
              <w:right w:val="single" w:sz="8" w:space="0" w:color="BDD6EE"/>
            </w:tcBorders>
            <w:shd w:val="clear" w:color="000000" w:fill="DEEAF6"/>
            <w:vAlign w:val="center"/>
            <w:hideMark/>
          </w:tcPr>
          <w:p w:rsidR="004E2DBC" w:rsidRPr="007266F8" w:rsidRDefault="003329EC"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3</w:t>
            </w:r>
            <w:r w:rsidRPr="007266F8">
              <w:rPr>
                <w:rFonts w:ascii="Calibri" w:eastAsia="Times New Roman" w:hAnsi="Calibri" w:cs="Calibri"/>
                <w:b/>
                <w:bCs/>
                <w:i/>
                <w:iCs/>
                <w:color w:val="000000"/>
                <w:sz w:val="20"/>
                <w:szCs w:val="20"/>
                <w:vertAlign w:val="superscript"/>
                <w:lang w:val="en-GB" w:eastAsia="tr-TR"/>
              </w:rPr>
              <w:t>rd</w:t>
            </w:r>
            <w:r w:rsidRPr="007266F8">
              <w:rPr>
                <w:rFonts w:ascii="Calibri" w:eastAsia="Times New Roman" w:hAnsi="Calibri" w:cs="Calibri"/>
                <w:b/>
                <w:bCs/>
                <w:i/>
                <w:iCs/>
                <w:color w:val="000000"/>
                <w:sz w:val="20"/>
                <w:szCs w:val="20"/>
                <w:lang w:val="en-GB" w:eastAsia="tr-TR"/>
              </w:rPr>
              <w:t xml:space="preserve"> Quarter Position Limit</w:t>
            </w:r>
            <w:r w:rsidR="004E2DBC" w:rsidRPr="007266F8">
              <w:rPr>
                <w:rFonts w:ascii="Calibri" w:eastAsia="Times New Roman" w:hAnsi="Calibri" w:cs="Calibri"/>
                <w:b/>
                <w:bCs/>
                <w:i/>
                <w:iCs/>
                <w:color w:val="000000"/>
                <w:sz w:val="20"/>
                <w:szCs w:val="20"/>
                <w:lang w:val="en-GB" w:eastAsia="tr-TR"/>
              </w:rPr>
              <w:t xml:space="preserve"> </w:t>
            </w:r>
          </w:p>
        </w:tc>
        <w:tc>
          <w:tcPr>
            <w:tcW w:w="1871" w:type="dxa"/>
            <w:tcBorders>
              <w:top w:val="nil"/>
              <w:left w:val="nil"/>
              <w:bottom w:val="single" w:sz="8" w:space="0" w:color="BDD6EE"/>
              <w:right w:val="single" w:sz="8" w:space="0" w:color="BDD6EE"/>
            </w:tcBorders>
            <w:shd w:val="clear" w:color="000000" w:fill="DEEAF6"/>
            <w:vAlign w:val="center"/>
            <w:hideMark/>
          </w:tcPr>
          <w:p w:rsidR="004E2DBC" w:rsidRPr="007266F8" w:rsidRDefault="003329EC" w:rsidP="003329E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4</w:t>
            </w:r>
            <w:r w:rsidRPr="007266F8">
              <w:rPr>
                <w:rFonts w:ascii="Calibri" w:eastAsia="Times New Roman" w:hAnsi="Calibri" w:cs="Calibri"/>
                <w:b/>
                <w:bCs/>
                <w:i/>
                <w:iCs/>
                <w:color w:val="000000"/>
                <w:sz w:val="20"/>
                <w:szCs w:val="20"/>
                <w:vertAlign w:val="superscript"/>
                <w:lang w:val="en-GB" w:eastAsia="tr-TR"/>
              </w:rPr>
              <w:t>th</w:t>
            </w:r>
            <w:r w:rsidRPr="007266F8">
              <w:rPr>
                <w:rFonts w:ascii="Calibri" w:eastAsia="Times New Roman" w:hAnsi="Calibri" w:cs="Calibri"/>
                <w:b/>
                <w:bCs/>
                <w:i/>
                <w:iCs/>
                <w:color w:val="000000"/>
                <w:sz w:val="20"/>
                <w:szCs w:val="20"/>
                <w:lang w:val="en-GB" w:eastAsia="tr-TR"/>
              </w:rPr>
              <w:t xml:space="preserve"> Quarter Position Limit </w:t>
            </w:r>
          </w:p>
        </w:tc>
      </w:tr>
      <w:tr w:rsidR="004E2DBC" w:rsidRPr="007266F8" w:rsidTr="004E2DBC">
        <w:trPr>
          <w:trHeight w:val="300"/>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MWh</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3.297</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2.802</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3.648</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3.324</w:t>
            </w:r>
          </w:p>
        </w:tc>
      </w:tr>
      <w:tr w:rsidR="004E2DBC" w:rsidRPr="007266F8" w:rsidTr="004E2DBC">
        <w:trPr>
          <w:trHeight w:val="179"/>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w:t>
            </w:r>
          </w:p>
        </w:tc>
      </w:tr>
      <w:tr w:rsidR="004E2DBC" w:rsidRPr="007266F8" w:rsidTr="004E2DBC">
        <w:trPr>
          <w:trHeight w:val="179"/>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Lot</w:t>
            </w:r>
          </w:p>
        </w:tc>
        <w:tc>
          <w:tcPr>
            <w:tcW w:w="1978" w:type="dxa"/>
            <w:tcBorders>
              <w:top w:val="nil"/>
              <w:left w:val="nil"/>
              <w:bottom w:val="single" w:sz="8" w:space="0" w:color="BDD6EE"/>
              <w:right w:val="single" w:sz="8" w:space="0" w:color="BDD6EE"/>
            </w:tcBorders>
            <w:shd w:val="clear" w:color="auto" w:fill="auto"/>
            <w:noWrap/>
            <w:vAlign w:val="center"/>
            <w:hideMark/>
          </w:tcPr>
          <w:p w:rsidR="006A78CA" w:rsidRPr="007266F8" w:rsidRDefault="006A78CA" w:rsidP="006A78CA">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32.969</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28.017</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36.478</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33.235</w:t>
            </w:r>
          </w:p>
        </w:tc>
      </w:tr>
      <w:tr w:rsidR="004E2DBC" w:rsidRPr="007266F8" w:rsidTr="004E2DBC">
        <w:trPr>
          <w:trHeight w:val="300"/>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7266F8" w:rsidRDefault="003329EC" w:rsidP="004E2DBC">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Hourly</w:t>
            </w:r>
            <w:r w:rsidR="004E2DBC" w:rsidRPr="007266F8">
              <w:rPr>
                <w:rFonts w:ascii="Calibri" w:eastAsia="Times New Roman" w:hAnsi="Calibri" w:cs="Calibri"/>
                <w:b/>
                <w:bCs/>
                <w:color w:val="000000"/>
                <w:sz w:val="20"/>
                <w:szCs w:val="20"/>
                <w:lang w:val="en-GB" w:eastAsia="tr-TR"/>
              </w:rPr>
              <w:t xml:space="preserve"> Lot</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15</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12</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7266F8" w:rsidRDefault="006A78CA"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15</w:t>
            </w:r>
          </w:p>
        </w:tc>
      </w:tr>
    </w:tbl>
    <w:p w:rsidR="00F36AFA" w:rsidRPr="007266F8" w:rsidRDefault="00313215" w:rsidP="002D6B7B">
      <w:pPr>
        <w:pStyle w:val="Caption"/>
        <w:jc w:val="center"/>
        <w:rPr>
          <w:rFonts w:cstheme="minorHAnsi"/>
          <w:lang w:val="en-GB"/>
        </w:rPr>
      </w:pPr>
      <w:bookmarkStart w:id="26" w:name="_Toc102051382"/>
      <w:r w:rsidRPr="007266F8">
        <w:rPr>
          <w:rFonts w:cstheme="minorHAnsi"/>
          <w:lang w:val="en-GB"/>
        </w:rPr>
        <w:t>Tabl</w:t>
      </w:r>
      <w:r w:rsidR="002D6B7B" w:rsidRPr="007266F8">
        <w:rPr>
          <w:rFonts w:cstheme="minorHAnsi"/>
          <w:lang w:val="en-GB"/>
        </w:rPr>
        <w:t>e</w:t>
      </w:r>
      <w:r w:rsidRPr="007266F8">
        <w:rPr>
          <w:rFonts w:cstheme="minorHAnsi"/>
          <w:lang w:val="en-GB"/>
        </w:rPr>
        <w:t xml:space="preserve"> </w:t>
      </w:r>
      <w:r w:rsidR="00D00A6F" w:rsidRPr="007266F8">
        <w:rPr>
          <w:rFonts w:cstheme="minorHAnsi"/>
          <w:lang w:val="en-GB"/>
        </w:rPr>
        <w:fldChar w:fldCharType="begin"/>
      </w:r>
      <w:r w:rsidR="00B56224" w:rsidRPr="007266F8">
        <w:rPr>
          <w:rFonts w:cstheme="minorHAnsi"/>
          <w:lang w:val="en-GB"/>
        </w:rPr>
        <w:instrText xml:space="preserve"> SEQ Tablo \* ARABIC </w:instrText>
      </w:r>
      <w:r w:rsidR="00D00A6F" w:rsidRPr="007266F8">
        <w:rPr>
          <w:rFonts w:cstheme="minorHAnsi"/>
          <w:lang w:val="en-GB"/>
        </w:rPr>
        <w:fldChar w:fldCharType="separate"/>
      </w:r>
      <w:r w:rsidR="00D12D06" w:rsidRPr="007266F8">
        <w:rPr>
          <w:rFonts w:cstheme="minorHAnsi"/>
          <w:noProof/>
          <w:lang w:val="en-GB"/>
        </w:rPr>
        <w:t>15</w:t>
      </w:r>
      <w:r w:rsidR="00D00A6F" w:rsidRPr="007266F8">
        <w:rPr>
          <w:rFonts w:cstheme="minorHAnsi"/>
          <w:lang w:val="en-GB"/>
        </w:rPr>
        <w:fldChar w:fldCharType="end"/>
      </w:r>
      <w:r w:rsidRPr="007266F8">
        <w:rPr>
          <w:rFonts w:cstheme="minorHAnsi"/>
          <w:lang w:val="en-GB"/>
        </w:rPr>
        <w:t xml:space="preserve"> </w:t>
      </w:r>
      <w:r w:rsidR="002D6B7B" w:rsidRPr="007266F8">
        <w:rPr>
          <w:rFonts w:cstheme="minorHAnsi"/>
          <w:lang w:val="en-GB"/>
        </w:rPr>
        <w:t>Exemplary Participant Quarterly Position Limits</w:t>
      </w:r>
      <w:bookmarkEnd w:id="26"/>
    </w:p>
    <w:p w:rsidR="009F64AB" w:rsidRPr="007266F8" w:rsidRDefault="00110CED" w:rsidP="008426E4">
      <w:pPr>
        <w:ind w:firstLine="708"/>
        <w:jc w:val="both"/>
        <w:rPr>
          <w:rFonts w:cstheme="minorHAnsi"/>
          <w:lang w:val="en-GB"/>
        </w:rPr>
      </w:pPr>
      <w:r w:rsidRPr="007266F8">
        <w:rPr>
          <w:rFonts w:cstheme="minorHAnsi"/>
          <w:lang w:val="en-GB"/>
        </w:rPr>
        <w:t xml:space="preserve">Position limits which Y Energy Inc can have for each month shall be calculated by </w:t>
      </w:r>
      <w:r w:rsidR="0048505C">
        <w:rPr>
          <w:rFonts w:cstheme="minorHAnsi"/>
          <w:lang w:val="en-GB"/>
        </w:rPr>
        <w:t>allocating</w:t>
      </w:r>
      <w:r w:rsidRPr="007266F8">
        <w:rPr>
          <w:rFonts w:cstheme="minorHAnsi"/>
          <w:lang w:val="en-GB"/>
        </w:rPr>
        <w:t xml:space="preserve"> the monthly contract position limit of Y Energy Inc according to the monthly consumption characteristics</w:t>
      </w:r>
      <w:r w:rsidR="004E2DBC" w:rsidRPr="007266F8">
        <w:rPr>
          <w:rFonts w:cstheme="minorHAnsi"/>
          <w:lang w:val="en-GB"/>
        </w:rPr>
        <w:t>.</w:t>
      </w:r>
      <w:r w:rsidR="00165012">
        <w:rPr>
          <w:rFonts w:cstheme="minorHAnsi"/>
          <w:lang w:val="en-GB"/>
        </w:rPr>
        <w:t xml:space="preserve"> </w:t>
      </w:r>
      <w:r w:rsidR="007B6753">
        <w:rPr>
          <w:rFonts w:cstheme="minorHAnsi"/>
          <w:lang w:val="en-GB"/>
        </w:rPr>
        <w:t xml:space="preserve"> </w:t>
      </w:r>
    </w:p>
    <w:tbl>
      <w:tblPr>
        <w:tblW w:w="9270" w:type="dxa"/>
        <w:tblInd w:w="-10" w:type="dxa"/>
        <w:tblCellMar>
          <w:left w:w="70" w:type="dxa"/>
          <w:right w:w="70" w:type="dxa"/>
        </w:tblCellMar>
        <w:tblLook w:val="04A0" w:firstRow="1" w:lastRow="0" w:firstColumn="1" w:lastColumn="0" w:noHBand="0" w:noVBand="1"/>
      </w:tblPr>
      <w:tblGrid>
        <w:gridCol w:w="2835"/>
        <w:gridCol w:w="1843"/>
        <w:gridCol w:w="1418"/>
        <w:gridCol w:w="1417"/>
        <w:gridCol w:w="1757"/>
      </w:tblGrid>
      <w:tr w:rsidR="004E2DBC" w:rsidRPr="007266F8" w:rsidTr="004E2DBC">
        <w:trPr>
          <w:trHeight w:val="121"/>
        </w:trPr>
        <w:tc>
          <w:tcPr>
            <w:tcW w:w="9270"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4E2DBC" w:rsidRPr="007266F8" w:rsidRDefault="003329EC" w:rsidP="00490800">
            <w:pPr>
              <w:spacing w:after="0" w:line="240" w:lineRule="auto"/>
              <w:jc w:val="center"/>
              <w:rPr>
                <w:rFonts w:ascii="Calibri" w:eastAsia="Times New Roman" w:hAnsi="Calibri" w:cs="Calibri"/>
                <w:b/>
                <w:bCs/>
                <w:color w:val="000000"/>
                <w:lang w:val="en-GB" w:eastAsia="tr-TR"/>
              </w:rPr>
            </w:pPr>
            <w:r w:rsidRPr="007266F8">
              <w:rPr>
                <w:rFonts w:ascii="Calibri" w:eastAsia="Times New Roman" w:hAnsi="Calibri" w:cs="Calibri"/>
                <w:b/>
                <w:bCs/>
                <w:color w:val="000000"/>
                <w:lang w:val="en-GB" w:eastAsia="tr-TR"/>
              </w:rPr>
              <w:t xml:space="preserve">Monthly Contracts Position Limits </w:t>
            </w:r>
            <w:r w:rsidR="004E2DBC" w:rsidRPr="007266F8">
              <w:rPr>
                <w:rFonts w:ascii="Calibri" w:eastAsia="Times New Roman" w:hAnsi="Calibri" w:cs="Calibri"/>
                <w:b/>
                <w:bCs/>
                <w:color w:val="000000"/>
                <w:lang w:val="en-GB" w:eastAsia="tr-TR"/>
              </w:rPr>
              <w:t xml:space="preserve"> </w:t>
            </w:r>
            <w:r w:rsidR="00490800">
              <w:rPr>
                <w:rFonts w:ascii="Calibri" w:eastAsia="Times New Roman" w:hAnsi="Calibri" w:cs="Calibri"/>
                <w:b/>
                <w:bCs/>
                <w:color w:val="000000"/>
                <w:lang w:val="en-GB" w:eastAsia="tr-TR"/>
              </w:rPr>
              <w:t xml:space="preserve">of </w:t>
            </w:r>
            <w:r w:rsidR="00490800" w:rsidRPr="007266F8">
              <w:rPr>
                <w:rFonts w:ascii="Calibri" w:eastAsia="Times New Roman" w:hAnsi="Calibri" w:cs="Calibri"/>
                <w:b/>
                <w:bCs/>
                <w:color w:val="000000"/>
                <w:lang w:val="en-GB" w:eastAsia="tr-TR"/>
              </w:rPr>
              <w:t>Y Energy Inc</w:t>
            </w:r>
          </w:p>
        </w:tc>
      </w:tr>
      <w:tr w:rsidR="00752375" w:rsidRPr="007266F8" w:rsidTr="00752375">
        <w:trPr>
          <w:trHeight w:val="127"/>
        </w:trPr>
        <w:tc>
          <w:tcPr>
            <w:tcW w:w="2835" w:type="dxa"/>
            <w:tcBorders>
              <w:top w:val="nil"/>
              <w:left w:val="single" w:sz="8" w:space="0" w:color="BDD6EE"/>
              <w:bottom w:val="single" w:sz="8" w:space="0" w:color="BDD6EE"/>
              <w:right w:val="single" w:sz="8" w:space="0" w:color="BDD6EE"/>
            </w:tcBorders>
            <w:shd w:val="clear" w:color="000000" w:fill="DEEAF6"/>
            <w:vAlign w:val="center"/>
            <w:hideMark/>
          </w:tcPr>
          <w:p w:rsidR="004E2DBC" w:rsidRPr="007266F8" w:rsidRDefault="004E2DBC"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2021</w:t>
            </w:r>
          </w:p>
        </w:tc>
        <w:tc>
          <w:tcPr>
            <w:tcW w:w="1843" w:type="dxa"/>
            <w:tcBorders>
              <w:top w:val="nil"/>
              <w:left w:val="nil"/>
              <w:bottom w:val="single" w:sz="8" w:space="0" w:color="BDD6EE"/>
              <w:right w:val="single" w:sz="8" w:space="0" w:color="BDD6EE"/>
            </w:tcBorders>
            <w:shd w:val="clear" w:color="000000" w:fill="DEEAF6"/>
            <w:noWrap/>
            <w:vAlign w:val="center"/>
            <w:hideMark/>
          </w:tcPr>
          <w:p w:rsidR="004E2DBC" w:rsidRPr="007266F8" w:rsidRDefault="004E2DBC" w:rsidP="00752375">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MWh</w:t>
            </w:r>
          </w:p>
        </w:tc>
        <w:tc>
          <w:tcPr>
            <w:tcW w:w="1418" w:type="dxa"/>
            <w:tcBorders>
              <w:top w:val="nil"/>
              <w:left w:val="nil"/>
              <w:bottom w:val="single" w:sz="8" w:space="0" w:color="BDD6EE"/>
              <w:right w:val="single" w:sz="8" w:space="0" w:color="BDD6EE"/>
            </w:tcBorders>
            <w:shd w:val="clear" w:color="000000" w:fill="DEEAF6"/>
            <w:noWrap/>
            <w:vAlign w:val="center"/>
            <w:hideMark/>
          </w:tcPr>
          <w:p w:rsidR="004E2DBC" w:rsidRPr="007266F8" w:rsidRDefault="004E2DBC" w:rsidP="00752375">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MW</w:t>
            </w:r>
          </w:p>
        </w:tc>
        <w:tc>
          <w:tcPr>
            <w:tcW w:w="1417" w:type="dxa"/>
            <w:tcBorders>
              <w:top w:val="nil"/>
              <w:left w:val="nil"/>
              <w:bottom w:val="single" w:sz="8" w:space="0" w:color="BDD6EE"/>
              <w:right w:val="single" w:sz="8" w:space="0" w:color="BDD6EE"/>
            </w:tcBorders>
            <w:shd w:val="clear" w:color="000000" w:fill="DEEAF6"/>
            <w:noWrap/>
            <w:vAlign w:val="center"/>
            <w:hideMark/>
          </w:tcPr>
          <w:p w:rsidR="004E2DBC" w:rsidRPr="007266F8" w:rsidRDefault="004E2DBC" w:rsidP="00752375">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Lot</w:t>
            </w:r>
          </w:p>
        </w:tc>
        <w:tc>
          <w:tcPr>
            <w:tcW w:w="1757" w:type="dxa"/>
            <w:tcBorders>
              <w:top w:val="nil"/>
              <w:left w:val="nil"/>
              <w:bottom w:val="single" w:sz="8" w:space="0" w:color="BDD6EE"/>
              <w:right w:val="single" w:sz="8" w:space="0" w:color="BDD6EE"/>
            </w:tcBorders>
            <w:shd w:val="clear" w:color="000000" w:fill="DEEAF6"/>
            <w:noWrap/>
            <w:vAlign w:val="center"/>
            <w:hideMark/>
          </w:tcPr>
          <w:p w:rsidR="004E2DBC" w:rsidRPr="007266F8" w:rsidRDefault="003329EC" w:rsidP="00752375">
            <w:pPr>
              <w:spacing w:after="0" w:line="240" w:lineRule="auto"/>
              <w:jc w:val="center"/>
              <w:rPr>
                <w:rFonts w:ascii="Calibri" w:eastAsia="Times New Roman" w:hAnsi="Calibri" w:cs="Calibri"/>
                <w:b/>
                <w:bCs/>
                <w:color w:val="000000"/>
                <w:sz w:val="20"/>
                <w:szCs w:val="20"/>
                <w:lang w:val="en-GB" w:eastAsia="tr-TR"/>
              </w:rPr>
            </w:pPr>
            <w:r w:rsidRPr="007266F8">
              <w:rPr>
                <w:rFonts w:ascii="Calibri" w:eastAsia="Times New Roman" w:hAnsi="Calibri" w:cs="Calibri"/>
                <w:b/>
                <w:bCs/>
                <w:color w:val="000000"/>
                <w:sz w:val="20"/>
                <w:szCs w:val="20"/>
                <w:lang w:val="en-GB" w:eastAsia="tr-TR"/>
              </w:rPr>
              <w:t>Hourly</w:t>
            </w:r>
            <w:r w:rsidR="004E2DBC" w:rsidRPr="007266F8">
              <w:rPr>
                <w:rFonts w:ascii="Calibri" w:eastAsia="Times New Roman" w:hAnsi="Calibri" w:cs="Calibri"/>
                <w:b/>
                <w:bCs/>
                <w:color w:val="000000"/>
                <w:sz w:val="20"/>
                <w:szCs w:val="20"/>
                <w:lang w:val="en-GB" w:eastAsia="tr-TR"/>
              </w:rPr>
              <w:t xml:space="preserve"> Lot</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5B70C3">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Position Limit for January</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2.347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23.465</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9F64AB"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31</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Position Limit for February</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2.233</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22.325</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9F64AB"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33</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March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2.040</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20.396</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9F64AB"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27</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April </w:t>
            </w:r>
            <w:r w:rsidR="004E2DBC" w:rsidRPr="007266F8">
              <w:rPr>
                <w:rFonts w:ascii="Calibri" w:eastAsia="Times New Roman" w:hAnsi="Calibri" w:cs="Calibri"/>
                <w:b/>
                <w:bCs/>
                <w:i/>
                <w:iCs/>
                <w:color w:val="000000"/>
                <w:sz w:val="20"/>
                <w:szCs w:val="20"/>
                <w:lang w:val="en-GB" w:eastAsia="tr-TR"/>
              </w:rPr>
              <w:t xml:space="preserve">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1.662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16.619</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23</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May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1.672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16.721</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22</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June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2.117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21.171</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29</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July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2.476</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24.762</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33</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August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2.540</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25.403</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34</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September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2.397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23.966</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33</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October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2.093</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8B2E0E">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20.934</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28</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November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2.181</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21.813</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30</w:t>
            </w:r>
          </w:p>
        </w:tc>
      </w:tr>
      <w:tr w:rsidR="004E2DBC" w:rsidRPr="007266F8"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7266F8" w:rsidRDefault="005B70C3" w:rsidP="004E2DBC">
            <w:pPr>
              <w:spacing w:after="0" w:line="240" w:lineRule="auto"/>
              <w:jc w:val="center"/>
              <w:rPr>
                <w:rFonts w:ascii="Calibri" w:eastAsia="Times New Roman" w:hAnsi="Calibri" w:cs="Calibri"/>
                <w:b/>
                <w:bCs/>
                <w:i/>
                <w:iCs/>
                <w:color w:val="000000"/>
                <w:sz w:val="20"/>
                <w:szCs w:val="20"/>
                <w:lang w:val="en-GB" w:eastAsia="tr-TR"/>
              </w:rPr>
            </w:pPr>
            <w:r w:rsidRPr="007266F8">
              <w:rPr>
                <w:rFonts w:ascii="Calibri" w:eastAsia="Times New Roman" w:hAnsi="Calibri" w:cs="Calibri"/>
                <w:b/>
                <w:bCs/>
                <w:i/>
                <w:iCs/>
                <w:color w:val="000000"/>
                <w:sz w:val="20"/>
                <w:szCs w:val="20"/>
                <w:lang w:val="en-GB" w:eastAsia="tr-TR"/>
              </w:rPr>
              <w:t xml:space="preserve">Position Limit for December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2.382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7266F8" w:rsidRDefault="004E2DBC"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23.819</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7266F8" w:rsidRDefault="008B2E0E" w:rsidP="004E2DBC">
            <w:pPr>
              <w:spacing w:after="0" w:line="240" w:lineRule="auto"/>
              <w:jc w:val="center"/>
              <w:rPr>
                <w:rFonts w:ascii="Calibri" w:eastAsia="Times New Roman" w:hAnsi="Calibri" w:cs="Calibri"/>
                <w:color w:val="000000"/>
                <w:sz w:val="20"/>
                <w:szCs w:val="20"/>
                <w:lang w:val="en-GB" w:eastAsia="tr-TR"/>
              </w:rPr>
            </w:pPr>
            <w:r w:rsidRPr="007266F8">
              <w:rPr>
                <w:rFonts w:ascii="Calibri" w:eastAsia="Times New Roman" w:hAnsi="Calibri" w:cs="Calibri"/>
                <w:color w:val="000000"/>
                <w:sz w:val="20"/>
                <w:szCs w:val="20"/>
                <w:lang w:val="en-GB" w:eastAsia="tr-TR"/>
              </w:rPr>
              <w:t>32</w:t>
            </w:r>
          </w:p>
        </w:tc>
      </w:tr>
    </w:tbl>
    <w:p w:rsidR="00313215" w:rsidRPr="007266F8" w:rsidRDefault="00313215" w:rsidP="002D6B7B">
      <w:pPr>
        <w:pStyle w:val="Caption"/>
        <w:jc w:val="center"/>
        <w:rPr>
          <w:rFonts w:cstheme="minorHAnsi"/>
          <w:lang w:val="en-GB"/>
        </w:rPr>
      </w:pPr>
      <w:bookmarkStart w:id="27" w:name="_Toc102051383"/>
      <w:r w:rsidRPr="007266F8">
        <w:rPr>
          <w:rFonts w:cstheme="minorHAnsi"/>
          <w:lang w:val="en-GB"/>
        </w:rPr>
        <w:t>Tabl</w:t>
      </w:r>
      <w:r w:rsidR="002D6B7B" w:rsidRPr="007266F8">
        <w:rPr>
          <w:rFonts w:cstheme="minorHAnsi"/>
          <w:lang w:val="en-GB"/>
        </w:rPr>
        <w:t>e</w:t>
      </w:r>
      <w:r w:rsidRPr="007266F8">
        <w:rPr>
          <w:rFonts w:cstheme="minorHAnsi"/>
          <w:lang w:val="en-GB"/>
        </w:rPr>
        <w:t xml:space="preserve"> </w:t>
      </w:r>
      <w:r w:rsidR="00D00A6F" w:rsidRPr="007266F8">
        <w:rPr>
          <w:rFonts w:cstheme="minorHAnsi"/>
          <w:lang w:val="en-GB"/>
        </w:rPr>
        <w:fldChar w:fldCharType="begin"/>
      </w:r>
      <w:r w:rsidR="00B56224" w:rsidRPr="007266F8">
        <w:rPr>
          <w:rFonts w:cstheme="minorHAnsi"/>
          <w:lang w:val="en-GB"/>
        </w:rPr>
        <w:instrText xml:space="preserve"> SEQ Tablo \* ARABIC </w:instrText>
      </w:r>
      <w:r w:rsidR="00D00A6F" w:rsidRPr="007266F8">
        <w:rPr>
          <w:rFonts w:cstheme="minorHAnsi"/>
          <w:lang w:val="en-GB"/>
        </w:rPr>
        <w:fldChar w:fldCharType="separate"/>
      </w:r>
      <w:r w:rsidR="00D12D06" w:rsidRPr="007266F8">
        <w:rPr>
          <w:rFonts w:cstheme="minorHAnsi"/>
          <w:noProof/>
          <w:lang w:val="en-GB"/>
        </w:rPr>
        <w:t>16</w:t>
      </w:r>
      <w:r w:rsidR="00D00A6F" w:rsidRPr="007266F8">
        <w:rPr>
          <w:rFonts w:cstheme="minorHAnsi"/>
          <w:lang w:val="en-GB"/>
        </w:rPr>
        <w:fldChar w:fldCharType="end"/>
      </w:r>
      <w:r w:rsidRPr="007266F8">
        <w:rPr>
          <w:rFonts w:cstheme="minorHAnsi"/>
          <w:lang w:val="en-GB"/>
        </w:rPr>
        <w:t xml:space="preserve"> </w:t>
      </w:r>
      <w:r w:rsidR="002D6B7B" w:rsidRPr="007266F8">
        <w:rPr>
          <w:rFonts w:cstheme="minorHAnsi"/>
          <w:lang w:val="en-GB"/>
        </w:rPr>
        <w:t>Exemplary Participant Monthly Position Limits</w:t>
      </w:r>
      <w:bookmarkEnd w:id="27"/>
      <w:r w:rsidR="00AB1B4A">
        <w:rPr>
          <w:rFonts w:cstheme="minorHAnsi"/>
          <w:lang w:val="en-GB"/>
        </w:rPr>
        <w:t xml:space="preserve"> </w:t>
      </w:r>
    </w:p>
    <w:sectPr w:rsidR="00313215" w:rsidRPr="007266F8" w:rsidSect="00D12685">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65" w:rsidRDefault="00C44565" w:rsidP="007D688F">
      <w:pPr>
        <w:spacing w:after="0" w:line="240" w:lineRule="auto"/>
      </w:pPr>
      <w:r>
        <w:separator/>
      </w:r>
    </w:p>
  </w:endnote>
  <w:endnote w:type="continuationSeparator" w:id="0">
    <w:p w:rsidR="00C44565" w:rsidRDefault="00C44565" w:rsidP="007D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068901"/>
      <w:docPartObj>
        <w:docPartGallery w:val="Page Numbers (Bottom of Page)"/>
        <w:docPartUnique/>
      </w:docPartObj>
    </w:sdtPr>
    <w:sdtContent>
      <w:p w:rsidR="00C44565" w:rsidRDefault="00C44565">
        <w:pPr>
          <w:pStyle w:val="Footer"/>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539750" cy="575945"/>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709992740"/>
                              </w:sdtPr>
                              <w:sdtContent>
                                <w:sdt>
                                  <w:sdtPr>
                                    <w:rPr>
                                      <w:rFonts w:asciiTheme="majorHAnsi" w:eastAsiaTheme="majorEastAsia" w:hAnsiTheme="majorHAnsi" w:cstheme="majorBidi"/>
                                      <w:szCs w:val="48"/>
                                    </w:rPr>
                                    <w:id w:val="-1904517296"/>
                                  </w:sdtPr>
                                  <w:sdtContent>
                                    <w:p w:rsidR="00C44565" w:rsidRPr="00A6554C" w:rsidRDefault="00C44565">
                                      <w:pPr>
                                        <w:jc w:val="center"/>
                                        <w:rPr>
                                          <w:rFonts w:asciiTheme="majorHAnsi" w:eastAsiaTheme="majorEastAsia" w:hAnsiTheme="majorHAnsi" w:cstheme="majorBidi"/>
                                          <w:szCs w:val="48"/>
                                        </w:rPr>
                                      </w:pPr>
                                      <w:r w:rsidRPr="00A6554C">
                                        <w:rPr>
                                          <w:rFonts w:eastAsiaTheme="minorEastAsia" w:cs="Times New Roman"/>
                                          <w:sz w:val="8"/>
                                        </w:rPr>
                                        <w:fldChar w:fldCharType="begin"/>
                                      </w:r>
                                      <w:r w:rsidRPr="00A6554C">
                                        <w:rPr>
                                          <w:sz w:val="8"/>
                                        </w:rPr>
                                        <w:instrText>PAGE   \* MERGEFORMAT</w:instrText>
                                      </w:r>
                                      <w:r w:rsidRPr="00A6554C">
                                        <w:rPr>
                                          <w:rFonts w:eastAsiaTheme="minorEastAsia" w:cs="Times New Roman"/>
                                          <w:sz w:val="8"/>
                                        </w:rPr>
                                        <w:fldChar w:fldCharType="separate"/>
                                      </w:r>
                                      <w:r w:rsidR="00B02060" w:rsidRPr="00B02060">
                                        <w:rPr>
                                          <w:rFonts w:asciiTheme="majorHAnsi" w:eastAsiaTheme="majorEastAsia" w:hAnsiTheme="majorHAnsi" w:cstheme="majorBidi"/>
                                          <w:noProof/>
                                          <w:szCs w:val="48"/>
                                        </w:rPr>
                                        <w:t>1</w:t>
                                      </w:r>
                                      <w:r w:rsidRPr="00A6554C">
                                        <w:rPr>
                                          <w:rFonts w:asciiTheme="majorHAnsi" w:eastAsiaTheme="majorEastAsia" w:hAnsiTheme="majorHAnsi" w:cstheme="majorBidi"/>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margin-left:0;margin-top:0;width:42.5pt;height:45.3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" stroked="f">
                  <v:textbox>
                    <w:txbxContent>
                      <w:sdt>
                        <w:sdtPr>
                          <w:rPr>
                            <w:rFonts w:asciiTheme="majorHAnsi" w:eastAsiaTheme="majorEastAsia" w:hAnsiTheme="majorHAnsi" w:cstheme="majorBidi"/>
                            <w:szCs w:val="48"/>
                          </w:rPr>
                          <w:id w:val="1709992740"/>
                        </w:sdtPr>
                        <w:sdtContent>
                          <w:sdt>
                            <w:sdtPr>
                              <w:rPr>
                                <w:rFonts w:asciiTheme="majorHAnsi" w:eastAsiaTheme="majorEastAsia" w:hAnsiTheme="majorHAnsi" w:cstheme="majorBidi"/>
                                <w:szCs w:val="48"/>
                              </w:rPr>
                              <w:id w:val="-1904517296"/>
                            </w:sdtPr>
                            <w:sdtContent>
                              <w:p w:rsidR="00C44565" w:rsidRPr="00A6554C" w:rsidRDefault="00C44565">
                                <w:pPr>
                                  <w:jc w:val="center"/>
                                  <w:rPr>
                                    <w:rFonts w:asciiTheme="majorHAnsi" w:eastAsiaTheme="majorEastAsia" w:hAnsiTheme="majorHAnsi" w:cstheme="majorBidi"/>
                                    <w:szCs w:val="48"/>
                                  </w:rPr>
                                </w:pPr>
                                <w:r w:rsidRPr="00A6554C">
                                  <w:rPr>
                                    <w:rFonts w:eastAsiaTheme="minorEastAsia" w:cs="Times New Roman"/>
                                    <w:sz w:val="8"/>
                                  </w:rPr>
                                  <w:fldChar w:fldCharType="begin"/>
                                </w:r>
                                <w:r w:rsidRPr="00A6554C">
                                  <w:rPr>
                                    <w:sz w:val="8"/>
                                  </w:rPr>
                                  <w:instrText>PAGE   \* MERGEFORMAT</w:instrText>
                                </w:r>
                                <w:r w:rsidRPr="00A6554C">
                                  <w:rPr>
                                    <w:rFonts w:eastAsiaTheme="minorEastAsia" w:cs="Times New Roman"/>
                                    <w:sz w:val="8"/>
                                  </w:rPr>
                                  <w:fldChar w:fldCharType="separate"/>
                                </w:r>
                                <w:r w:rsidR="00B02060" w:rsidRPr="00B02060">
                                  <w:rPr>
                                    <w:rFonts w:asciiTheme="majorHAnsi" w:eastAsiaTheme="majorEastAsia" w:hAnsiTheme="majorHAnsi" w:cstheme="majorBidi"/>
                                    <w:noProof/>
                                    <w:szCs w:val="48"/>
                                  </w:rPr>
                                  <w:t>1</w:t>
                                </w:r>
                                <w:r w:rsidRPr="00A6554C">
                                  <w:rPr>
                                    <w:rFonts w:asciiTheme="majorHAnsi" w:eastAsiaTheme="majorEastAsia" w:hAnsiTheme="majorHAnsi" w:cstheme="majorBidi"/>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65" w:rsidRDefault="00C44565" w:rsidP="007D688F">
      <w:pPr>
        <w:spacing w:after="0" w:line="240" w:lineRule="auto"/>
      </w:pPr>
      <w:r>
        <w:separator/>
      </w:r>
    </w:p>
  </w:footnote>
  <w:footnote w:type="continuationSeparator" w:id="0">
    <w:p w:rsidR="00C44565" w:rsidRDefault="00C44565" w:rsidP="007D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F1A"/>
    <w:multiLevelType w:val="hybridMultilevel"/>
    <w:tmpl w:val="0AC213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E970A29"/>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3" w15:restartNumberingAfterBreak="0">
    <w:nsid w:val="529B5DAA"/>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4" w15:restartNumberingAfterBreak="0">
    <w:nsid w:val="63BC72C7"/>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51"/>
    <w:rsid w:val="000050C6"/>
    <w:rsid w:val="000054D2"/>
    <w:rsid w:val="000135A5"/>
    <w:rsid w:val="00014CAD"/>
    <w:rsid w:val="000178C1"/>
    <w:rsid w:val="00023725"/>
    <w:rsid w:val="000304EE"/>
    <w:rsid w:val="00031709"/>
    <w:rsid w:val="000532DB"/>
    <w:rsid w:val="00057498"/>
    <w:rsid w:val="00060988"/>
    <w:rsid w:val="0007311A"/>
    <w:rsid w:val="0008453F"/>
    <w:rsid w:val="00094394"/>
    <w:rsid w:val="000A3EED"/>
    <w:rsid w:val="000B07EC"/>
    <w:rsid w:val="000B616B"/>
    <w:rsid w:val="000C0EC3"/>
    <w:rsid w:val="000C0EE1"/>
    <w:rsid w:val="000C7321"/>
    <w:rsid w:val="000D74E6"/>
    <w:rsid w:val="000E16E7"/>
    <w:rsid w:val="000E1DF0"/>
    <w:rsid w:val="000F3D4A"/>
    <w:rsid w:val="000F6BCA"/>
    <w:rsid w:val="00107499"/>
    <w:rsid w:val="00110CED"/>
    <w:rsid w:val="00111424"/>
    <w:rsid w:val="00111450"/>
    <w:rsid w:val="00113D53"/>
    <w:rsid w:val="001253AF"/>
    <w:rsid w:val="00142F62"/>
    <w:rsid w:val="00165012"/>
    <w:rsid w:val="00180A34"/>
    <w:rsid w:val="00184680"/>
    <w:rsid w:val="001869B0"/>
    <w:rsid w:val="00195CE5"/>
    <w:rsid w:val="001B6096"/>
    <w:rsid w:val="001C4028"/>
    <w:rsid w:val="001F3F9F"/>
    <w:rsid w:val="002161DB"/>
    <w:rsid w:val="0021627D"/>
    <w:rsid w:val="002277B7"/>
    <w:rsid w:val="0023350D"/>
    <w:rsid w:val="002335D4"/>
    <w:rsid w:val="00233DBC"/>
    <w:rsid w:val="002379D2"/>
    <w:rsid w:val="0024011C"/>
    <w:rsid w:val="0024695B"/>
    <w:rsid w:val="00247A2C"/>
    <w:rsid w:val="00250508"/>
    <w:rsid w:val="00260CA8"/>
    <w:rsid w:val="00294B84"/>
    <w:rsid w:val="00295E38"/>
    <w:rsid w:val="00296747"/>
    <w:rsid w:val="002B4B18"/>
    <w:rsid w:val="002D2D7A"/>
    <w:rsid w:val="002D6B7B"/>
    <w:rsid w:val="002D7BF6"/>
    <w:rsid w:val="002E06FA"/>
    <w:rsid w:val="002E1C24"/>
    <w:rsid w:val="00313215"/>
    <w:rsid w:val="00313D2C"/>
    <w:rsid w:val="003172B5"/>
    <w:rsid w:val="00322F04"/>
    <w:rsid w:val="003260F0"/>
    <w:rsid w:val="00330D3C"/>
    <w:rsid w:val="003329EC"/>
    <w:rsid w:val="00351742"/>
    <w:rsid w:val="00356D6B"/>
    <w:rsid w:val="00363EAF"/>
    <w:rsid w:val="0036471A"/>
    <w:rsid w:val="0038445D"/>
    <w:rsid w:val="003924A1"/>
    <w:rsid w:val="003953AF"/>
    <w:rsid w:val="00397428"/>
    <w:rsid w:val="0039794A"/>
    <w:rsid w:val="003A42A5"/>
    <w:rsid w:val="003C354F"/>
    <w:rsid w:val="003D3124"/>
    <w:rsid w:val="003D3C67"/>
    <w:rsid w:val="003E1B8D"/>
    <w:rsid w:val="003F312A"/>
    <w:rsid w:val="0040025D"/>
    <w:rsid w:val="0040138E"/>
    <w:rsid w:val="00403D4D"/>
    <w:rsid w:val="00405FEF"/>
    <w:rsid w:val="004174D4"/>
    <w:rsid w:val="0042328B"/>
    <w:rsid w:val="00431834"/>
    <w:rsid w:val="00443B0C"/>
    <w:rsid w:val="00443DE8"/>
    <w:rsid w:val="00443EB9"/>
    <w:rsid w:val="0044517C"/>
    <w:rsid w:val="004569B3"/>
    <w:rsid w:val="00457216"/>
    <w:rsid w:val="00466C06"/>
    <w:rsid w:val="00467EFE"/>
    <w:rsid w:val="00484352"/>
    <w:rsid w:val="0048505C"/>
    <w:rsid w:val="0048752F"/>
    <w:rsid w:val="00490800"/>
    <w:rsid w:val="0049327E"/>
    <w:rsid w:val="00496EDE"/>
    <w:rsid w:val="004A1CBB"/>
    <w:rsid w:val="004A2440"/>
    <w:rsid w:val="004B3211"/>
    <w:rsid w:val="004E06F4"/>
    <w:rsid w:val="004E2DBC"/>
    <w:rsid w:val="004E6CE2"/>
    <w:rsid w:val="004F3884"/>
    <w:rsid w:val="00504868"/>
    <w:rsid w:val="00510260"/>
    <w:rsid w:val="00512F63"/>
    <w:rsid w:val="00523B0E"/>
    <w:rsid w:val="00532E03"/>
    <w:rsid w:val="005337E7"/>
    <w:rsid w:val="005562FC"/>
    <w:rsid w:val="005618E8"/>
    <w:rsid w:val="0057037D"/>
    <w:rsid w:val="00575DA6"/>
    <w:rsid w:val="0058781E"/>
    <w:rsid w:val="00593C12"/>
    <w:rsid w:val="005B310E"/>
    <w:rsid w:val="005B70C3"/>
    <w:rsid w:val="005C10B0"/>
    <w:rsid w:val="005C3DAB"/>
    <w:rsid w:val="005C5AD9"/>
    <w:rsid w:val="005D3F0C"/>
    <w:rsid w:val="005E00D2"/>
    <w:rsid w:val="005E164B"/>
    <w:rsid w:val="005E2A12"/>
    <w:rsid w:val="005E3089"/>
    <w:rsid w:val="005E37F4"/>
    <w:rsid w:val="005E57E2"/>
    <w:rsid w:val="005F50B4"/>
    <w:rsid w:val="00602968"/>
    <w:rsid w:val="00603F51"/>
    <w:rsid w:val="00611061"/>
    <w:rsid w:val="00612571"/>
    <w:rsid w:val="0061395F"/>
    <w:rsid w:val="0063289D"/>
    <w:rsid w:val="0064208A"/>
    <w:rsid w:val="00643FAE"/>
    <w:rsid w:val="00653B93"/>
    <w:rsid w:val="006565CA"/>
    <w:rsid w:val="0066293C"/>
    <w:rsid w:val="006646FD"/>
    <w:rsid w:val="00671373"/>
    <w:rsid w:val="00681675"/>
    <w:rsid w:val="00684597"/>
    <w:rsid w:val="00686A23"/>
    <w:rsid w:val="00686B5A"/>
    <w:rsid w:val="00693FB2"/>
    <w:rsid w:val="006A358D"/>
    <w:rsid w:val="006A78CA"/>
    <w:rsid w:val="006B194B"/>
    <w:rsid w:val="006B298C"/>
    <w:rsid w:val="006B6D7A"/>
    <w:rsid w:val="006B7684"/>
    <w:rsid w:val="006C2A74"/>
    <w:rsid w:val="006C74AD"/>
    <w:rsid w:val="006D0515"/>
    <w:rsid w:val="006D0B24"/>
    <w:rsid w:val="006E1728"/>
    <w:rsid w:val="006F0BEE"/>
    <w:rsid w:val="0070121F"/>
    <w:rsid w:val="00705074"/>
    <w:rsid w:val="007266F8"/>
    <w:rsid w:val="00732460"/>
    <w:rsid w:val="007355BF"/>
    <w:rsid w:val="00736E92"/>
    <w:rsid w:val="00737DFD"/>
    <w:rsid w:val="00752375"/>
    <w:rsid w:val="00754E30"/>
    <w:rsid w:val="00765A9A"/>
    <w:rsid w:val="0076633F"/>
    <w:rsid w:val="00772864"/>
    <w:rsid w:val="00777B7C"/>
    <w:rsid w:val="00783404"/>
    <w:rsid w:val="00791120"/>
    <w:rsid w:val="00794C28"/>
    <w:rsid w:val="00796E5A"/>
    <w:rsid w:val="007A0EC9"/>
    <w:rsid w:val="007A3644"/>
    <w:rsid w:val="007A5FA0"/>
    <w:rsid w:val="007A78D7"/>
    <w:rsid w:val="007B6753"/>
    <w:rsid w:val="007B6ED7"/>
    <w:rsid w:val="007C67FB"/>
    <w:rsid w:val="007D688F"/>
    <w:rsid w:val="007D689C"/>
    <w:rsid w:val="007F11D4"/>
    <w:rsid w:val="007F634B"/>
    <w:rsid w:val="008077BC"/>
    <w:rsid w:val="0081009E"/>
    <w:rsid w:val="00812EBD"/>
    <w:rsid w:val="008229BF"/>
    <w:rsid w:val="0082481D"/>
    <w:rsid w:val="00834D19"/>
    <w:rsid w:val="00836B7C"/>
    <w:rsid w:val="008407F7"/>
    <w:rsid w:val="008415C6"/>
    <w:rsid w:val="00841DB5"/>
    <w:rsid w:val="008426E4"/>
    <w:rsid w:val="008555D0"/>
    <w:rsid w:val="00855E9D"/>
    <w:rsid w:val="00855EE8"/>
    <w:rsid w:val="008727B9"/>
    <w:rsid w:val="00887BC3"/>
    <w:rsid w:val="008A0F63"/>
    <w:rsid w:val="008B18E7"/>
    <w:rsid w:val="008B2E0E"/>
    <w:rsid w:val="008C0F9D"/>
    <w:rsid w:val="008C35CF"/>
    <w:rsid w:val="008F13ED"/>
    <w:rsid w:val="008F28D7"/>
    <w:rsid w:val="008F43CE"/>
    <w:rsid w:val="008F73FE"/>
    <w:rsid w:val="009024D2"/>
    <w:rsid w:val="00903079"/>
    <w:rsid w:val="00905C44"/>
    <w:rsid w:val="00912F61"/>
    <w:rsid w:val="00916923"/>
    <w:rsid w:val="00937152"/>
    <w:rsid w:val="0094404C"/>
    <w:rsid w:val="0094552D"/>
    <w:rsid w:val="00955B28"/>
    <w:rsid w:val="00963E7B"/>
    <w:rsid w:val="00970BBB"/>
    <w:rsid w:val="0098115D"/>
    <w:rsid w:val="0098484C"/>
    <w:rsid w:val="0099263B"/>
    <w:rsid w:val="00995235"/>
    <w:rsid w:val="009C0230"/>
    <w:rsid w:val="009C6E71"/>
    <w:rsid w:val="009E07FA"/>
    <w:rsid w:val="009E28D0"/>
    <w:rsid w:val="009E77D7"/>
    <w:rsid w:val="009F300C"/>
    <w:rsid w:val="009F64AB"/>
    <w:rsid w:val="00A03BAD"/>
    <w:rsid w:val="00A10C32"/>
    <w:rsid w:val="00A2189B"/>
    <w:rsid w:val="00A21CF6"/>
    <w:rsid w:val="00A310A7"/>
    <w:rsid w:val="00A41A84"/>
    <w:rsid w:val="00A43913"/>
    <w:rsid w:val="00A43C47"/>
    <w:rsid w:val="00A47D09"/>
    <w:rsid w:val="00A53293"/>
    <w:rsid w:val="00A541FC"/>
    <w:rsid w:val="00A624AC"/>
    <w:rsid w:val="00A6522F"/>
    <w:rsid w:val="00A6554C"/>
    <w:rsid w:val="00A6697D"/>
    <w:rsid w:val="00A70C17"/>
    <w:rsid w:val="00A73393"/>
    <w:rsid w:val="00A76E9D"/>
    <w:rsid w:val="00A77E7C"/>
    <w:rsid w:val="00AA09AF"/>
    <w:rsid w:val="00AB1B4A"/>
    <w:rsid w:val="00AD13B0"/>
    <w:rsid w:val="00AD39FE"/>
    <w:rsid w:val="00AE125A"/>
    <w:rsid w:val="00AE287F"/>
    <w:rsid w:val="00AE5C1A"/>
    <w:rsid w:val="00B02060"/>
    <w:rsid w:val="00B022B5"/>
    <w:rsid w:val="00B03423"/>
    <w:rsid w:val="00B05D52"/>
    <w:rsid w:val="00B2153E"/>
    <w:rsid w:val="00B22383"/>
    <w:rsid w:val="00B25BC7"/>
    <w:rsid w:val="00B4737D"/>
    <w:rsid w:val="00B56224"/>
    <w:rsid w:val="00B6006F"/>
    <w:rsid w:val="00B60449"/>
    <w:rsid w:val="00B71076"/>
    <w:rsid w:val="00B85081"/>
    <w:rsid w:val="00B976A8"/>
    <w:rsid w:val="00BA266D"/>
    <w:rsid w:val="00BB2175"/>
    <w:rsid w:val="00BB44BA"/>
    <w:rsid w:val="00BB690D"/>
    <w:rsid w:val="00BC21FB"/>
    <w:rsid w:val="00BE08B7"/>
    <w:rsid w:val="00BE39B1"/>
    <w:rsid w:val="00BF1961"/>
    <w:rsid w:val="00BF31AD"/>
    <w:rsid w:val="00BF4903"/>
    <w:rsid w:val="00BF7927"/>
    <w:rsid w:val="00C013DE"/>
    <w:rsid w:val="00C20391"/>
    <w:rsid w:val="00C203D6"/>
    <w:rsid w:val="00C27B78"/>
    <w:rsid w:val="00C3047F"/>
    <w:rsid w:val="00C32FC0"/>
    <w:rsid w:val="00C36A81"/>
    <w:rsid w:val="00C374BD"/>
    <w:rsid w:val="00C44565"/>
    <w:rsid w:val="00C4557B"/>
    <w:rsid w:val="00C50523"/>
    <w:rsid w:val="00C52985"/>
    <w:rsid w:val="00C57187"/>
    <w:rsid w:val="00C60C26"/>
    <w:rsid w:val="00C64818"/>
    <w:rsid w:val="00C65C07"/>
    <w:rsid w:val="00C77607"/>
    <w:rsid w:val="00C919F5"/>
    <w:rsid w:val="00C939D7"/>
    <w:rsid w:val="00CA0472"/>
    <w:rsid w:val="00CA0DA8"/>
    <w:rsid w:val="00CA2351"/>
    <w:rsid w:val="00CA4FB8"/>
    <w:rsid w:val="00CA6C72"/>
    <w:rsid w:val="00CA703B"/>
    <w:rsid w:val="00CA722A"/>
    <w:rsid w:val="00CB13E5"/>
    <w:rsid w:val="00CB49AA"/>
    <w:rsid w:val="00CB6059"/>
    <w:rsid w:val="00CB6E5A"/>
    <w:rsid w:val="00CC0C57"/>
    <w:rsid w:val="00CC1864"/>
    <w:rsid w:val="00CC681D"/>
    <w:rsid w:val="00CD3AF1"/>
    <w:rsid w:val="00CE4845"/>
    <w:rsid w:val="00CE631A"/>
    <w:rsid w:val="00D00A6F"/>
    <w:rsid w:val="00D01743"/>
    <w:rsid w:val="00D0305B"/>
    <w:rsid w:val="00D06A8B"/>
    <w:rsid w:val="00D12685"/>
    <w:rsid w:val="00D12D06"/>
    <w:rsid w:val="00D16B70"/>
    <w:rsid w:val="00D4236F"/>
    <w:rsid w:val="00D54971"/>
    <w:rsid w:val="00D606A9"/>
    <w:rsid w:val="00D60F92"/>
    <w:rsid w:val="00D61215"/>
    <w:rsid w:val="00D672E4"/>
    <w:rsid w:val="00DA4E4E"/>
    <w:rsid w:val="00DB1A6D"/>
    <w:rsid w:val="00DC4C92"/>
    <w:rsid w:val="00DD5FCF"/>
    <w:rsid w:val="00DD6C37"/>
    <w:rsid w:val="00DD7A83"/>
    <w:rsid w:val="00DE325D"/>
    <w:rsid w:val="00E014F1"/>
    <w:rsid w:val="00E05F88"/>
    <w:rsid w:val="00E07299"/>
    <w:rsid w:val="00E37FD8"/>
    <w:rsid w:val="00E4625F"/>
    <w:rsid w:val="00E502D6"/>
    <w:rsid w:val="00E544AD"/>
    <w:rsid w:val="00E63743"/>
    <w:rsid w:val="00E66667"/>
    <w:rsid w:val="00E75173"/>
    <w:rsid w:val="00E905CA"/>
    <w:rsid w:val="00E97929"/>
    <w:rsid w:val="00EA66A6"/>
    <w:rsid w:val="00ED14BF"/>
    <w:rsid w:val="00ED3957"/>
    <w:rsid w:val="00ED56C9"/>
    <w:rsid w:val="00EE469B"/>
    <w:rsid w:val="00EE6B0A"/>
    <w:rsid w:val="00EF1373"/>
    <w:rsid w:val="00EF285C"/>
    <w:rsid w:val="00EF4B1D"/>
    <w:rsid w:val="00EF6ADE"/>
    <w:rsid w:val="00F04662"/>
    <w:rsid w:val="00F04A6C"/>
    <w:rsid w:val="00F104C3"/>
    <w:rsid w:val="00F10ED7"/>
    <w:rsid w:val="00F16B27"/>
    <w:rsid w:val="00F17135"/>
    <w:rsid w:val="00F3058F"/>
    <w:rsid w:val="00F31B3F"/>
    <w:rsid w:val="00F33A56"/>
    <w:rsid w:val="00F36AFA"/>
    <w:rsid w:val="00F4096F"/>
    <w:rsid w:val="00F46956"/>
    <w:rsid w:val="00F54899"/>
    <w:rsid w:val="00F5535E"/>
    <w:rsid w:val="00F5642D"/>
    <w:rsid w:val="00F60BAE"/>
    <w:rsid w:val="00F668DF"/>
    <w:rsid w:val="00F82E92"/>
    <w:rsid w:val="00F92911"/>
    <w:rsid w:val="00FA39EB"/>
    <w:rsid w:val="00FA67F5"/>
    <w:rsid w:val="00FC02EB"/>
    <w:rsid w:val="00FC475A"/>
    <w:rsid w:val="00FD666D"/>
    <w:rsid w:val="00FE554B"/>
    <w:rsid w:val="00FF1567"/>
    <w:rsid w:val="00FF66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8B581"/>
  <w15:docId w15:val="{AECB7DF5-9610-4A29-8E63-8070613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B5"/>
  </w:style>
  <w:style w:type="paragraph" w:styleId="Heading1">
    <w:name w:val="heading 1"/>
    <w:basedOn w:val="Normal"/>
    <w:next w:val="Normal"/>
    <w:link w:val="Heading1Char"/>
    <w:uiPriority w:val="9"/>
    <w:qFormat/>
    <w:rsid w:val="00B71076"/>
    <w:pPr>
      <w:keepNext/>
      <w:keepLines/>
      <w:numPr>
        <w:numId w:val="4"/>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B71076"/>
    <w:pPr>
      <w:keepNext/>
      <w:keepLines/>
      <w:numPr>
        <w:ilvl w:val="1"/>
        <w:numId w:val="4"/>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B71076"/>
    <w:pPr>
      <w:keepNext/>
      <w:keepLines/>
      <w:numPr>
        <w:ilvl w:val="2"/>
        <w:numId w:val="4"/>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4">
    <w:name w:val="heading 4"/>
    <w:basedOn w:val="Normal"/>
    <w:next w:val="Normal"/>
    <w:link w:val="Heading4Char"/>
    <w:uiPriority w:val="9"/>
    <w:unhideWhenUsed/>
    <w:qFormat/>
    <w:rsid w:val="00313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1076"/>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B71076"/>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B71076"/>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B71076"/>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B71076"/>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8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688F"/>
  </w:style>
  <w:style w:type="paragraph" w:styleId="Footer">
    <w:name w:val="footer"/>
    <w:basedOn w:val="Normal"/>
    <w:link w:val="FooterChar"/>
    <w:uiPriority w:val="99"/>
    <w:unhideWhenUsed/>
    <w:rsid w:val="007D68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688F"/>
  </w:style>
  <w:style w:type="table" w:styleId="TableGrid">
    <w:name w:val="Table Grid"/>
    <w:basedOn w:val="TableNormal"/>
    <w:uiPriority w:val="39"/>
    <w:rsid w:val="007D688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1076"/>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B71076"/>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B71076"/>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B71076"/>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B71076"/>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B71076"/>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B71076"/>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B71076"/>
    <w:rPr>
      <w:rFonts w:asciiTheme="majorHAnsi" w:eastAsiaTheme="majorEastAsia" w:hAnsiTheme="majorHAnsi" w:cstheme="majorBidi"/>
      <w:i/>
      <w:iCs/>
      <w:color w:val="404040" w:themeColor="text1" w:themeTint="BF"/>
      <w:sz w:val="20"/>
      <w:szCs w:val="20"/>
      <w:lang w:eastAsia="tr-TR"/>
    </w:rPr>
  </w:style>
  <w:style w:type="paragraph" w:styleId="BodyTextIndent">
    <w:name w:val="Body Text Indent"/>
    <w:basedOn w:val="Normal"/>
    <w:link w:val="BodyTextIndentChar"/>
    <w:uiPriority w:val="99"/>
    <w:unhideWhenUsed/>
    <w:rsid w:val="00C203D6"/>
    <w:pPr>
      <w:spacing w:after="120" w:line="240" w:lineRule="auto"/>
      <w:ind w:firstLine="720"/>
      <w:jc w:val="both"/>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C203D6"/>
    <w:rPr>
      <w:rFonts w:ascii="Times New Roman" w:hAnsi="Times New Roman" w:cs="Times New Roman"/>
      <w:color w:val="000000"/>
      <w:sz w:val="24"/>
      <w:szCs w:val="24"/>
    </w:rPr>
  </w:style>
  <w:style w:type="table" w:customStyle="1" w:styleId="KlavuzTablo1Ak-Vurgu51">
    <w:name w:val="Kılavuz Tablo 1 Açık - Vurgu 51"/>
    <w:basedOn w:val="TableNormal"/>
    <w:uiPriority w:val="46"/>
    <w:rsid w:val="00C013D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13215"/>
    <w:pPr>
      <w:spacing w:after="200" w:line="240" w:lineRule="auto"/>
    </w:pPr>
    <w:rPr>
      <w:i/>
      <w:iCs/>
      <w:color w:val="44546A" w:themeColor="text2"/>
      <w:sz w:val="18"/>
      <w:szCs w:val="18"/>
    </w:rPr>
  </w:style>
  <w:style w:type="table" w:customStyle="1" w:styleId="KlavuzTablo1Ak-Vurgu11">
    <w:name w:val="Kılavuz Tablo 1 Açık - Vurgu 11"/>
    <w:basedOn w:val="TableNormal"/>
    <w:uiPriority w:val="46"/>
    <w:rsid w:val="0031321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31321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7311A"/>
    <w:pPr>
      <w:ind w:left="720"/>
      <w:contextualSpacing/>
    </w:pPr>
  </w:style>
  <w:style w:type="paragraph" w:customStyle="1" w:styleId="Default">
    <w:name w:val="Default"/>
    <w:rsid w:val="0076633F"/>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6554C"/>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6554C"/>
    <w:pPr>
      <w:spacing w:after="100"/>
      <w:ind w:left="220"/>
    </w:pPr>
    <w:rPr>
      <w:rFonts w:eastAsiaTheme="minorEastAsia" w:cs="Times New Roman"/>
      <w:lang w:eastAsia="tr-TR"/>
    </w:rPr>
  </w:style>
  <w:style w:type="paragraph" w:styleId="TOC1">
    <w:name w:val="toc 1"/>
    <w:basedOn w:val="Normal"/>
    <w:next w:val="Normal"/>
    <w:autoRedefine/>
    <w:uiPriority w:val="39"/>
    <w:unhideWhenUsed/>
    <w:rsid w:val="00A6554C"/>
    <w:pPr>
      <w:spacing w:after="100"/>
    </w:pPr>
    <w:rPr>
      <w:rFonts w:eastAsiaTheme="minorEastAsia" w:cs="Times New Roman"/>
      <w:lang w:eastAsia="tr-TR"/>
    </w:rPr>
  </w:style>
  <w:style w:type="paragraph" w:styleId="TOC3">
    <w:name w:val="toc 3"/>
    <w:basedOn w:val="Normal"/>
    <w:next w:val="Normal"/>
    <w:autoRedefine/>
    <w:uiPriority w:val="39"/>
    <w:unhideWhenUsed/>
    <w:rsid w:val="00A6554C"/>
    <w:pPr>
      <w:spacing w:after="100"/>
      <w:ind w:left="440"/>
    </w:pPr>
    <w:rPr>
      <w:rFonts w:eastAsiaTheme="minorEastAsia" w:cs="Times New Roman"/>
      <w:lang w:eastAsia="tr-TR"/>
    </w:rPr>
  </w:style>
  <w:style w:type="character" w:styleId="Hyperlink">
    <w:name w:val="Hyperlink"/>
    <w:basedOn w:val="DefaultParagraphFont"/>
    <w:uiPriority w:val="99"/>
    <w:unhideWhenUsed/>
    <w:rsid w:val="00A6554C"/>
    <w:rPr>
      <w:color w:val="0563C1" w:themeColor="hyperlink"/>
      <w:u w:val="single"/>
    </w:rPr>
  </w:style>
  <w:style w:type="paragraph" w:styleId="TableofFigures">
    <w:name w:val="table of figures"/>
    <w:basedOn w:val="Normal"/>
    <w:next w:val="Normal"/>
    <w:uiPriority w:val="99"/>
    <w:unhideWhenUsed/>
    <w:rsid w:val="00A6554C"/>
    <w:pPr>
      <w:spacing w:after="0"/>
    </w:pPr>
    <w:rPr>
      <w:rFonts w:cstheme="minorHAnsi"/>
      <w:i/>
      <w:iCs/>
      <w:sz w:val="20"/>
      <w:szCs w:val="20"/>
    </w:rPr>
  </w:style>
  <w:style w:type="paragraph" w:styleId="NoSpacing">
    <w:name w:val="No Spacing"/>
    <w:link w:val="NoSpacingChar"/>
    <w:uiPriority w:val="1"/>
    <w:qFormat/>
    <w:rsid w:val="00D12685"/>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D12685"/>
    <w:rPr>
      <w:rFonts w:eastAsiaTheme="minorEastAsia"/>
      <w:lang w:eastAsia="tr-TR"/>
    </w:rPr>
  </w:style>
  <w:style w:type="paragraph" w:styleId="BalloonText">
    <w:name w:val="Balloon Text"/>
    <w:basedOn w:val="Normal"/>
    <w:link w:val="BalloonTextChar"/>
    <w:uiPriority w:val="99"/>
    <w:semiHidden/>
    <w:unhideWhenUsed/>
    <w:rsid w:val="00D16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074">
      <w:bodyDiv w:val="1"/>
      <w:marLeft w:val="0"/>
      <w:marRight w:val="0"/>
      <w:marTop w:val="0"/>
      <w:marBottom w:val="0"/>
      <w:divBdr>
        <w:top w:val="none" w:sz="0" w:space="0" w:color="auto"/>
        <w:left w:val="none" w:sz="0" w:space="0" w:color="auto"/>
        <w:bottom w:val="none" w:sz="0" w:space="0" w:color="auto"/>
        <w:right w:val="none" w:sz="0" w:space="0" w:color="auto"/>
      </w:divBdr>
    </w:div>
    <w:div w:id="65957159">
      <w:bodyDiv w:val="1"/>
      <w:marLeft w:val="0"/>
      <w:marRight w:val="0"/>
      <w:marTop w:val="0"/>
      <w:marBottom w:val="0"/>
      <w:divBdr>
        <w:top w:val="none" w:sz="0" w:space="0" w:color="auto"/>
        <w:left w:val="none" w:sz="0" w:space="0" w:color="auto"/>
        <w:bottom w:val="none" w:sz="0" w:space="0" w:color="auto"/>
        <w:right w:val="none" w:sz="0" w:space="0" w:color="auto"/>
      </w:divBdr>
    </w:div>
    <w:div w:id="76753690">
      <w:bodyDiv w:val="1"/>
      <w:marLeft w:val="0"/>
      <w:marRight w:val="0"/>
      <w:marTop w:val="0"/>
      <w:marBottom w:val="0"/>
      <w:divBdr>
        <w:top w:val="none" w:sz="0" w:space="0" w:color="auto"/>
        <w:left w:val="none" w:sz="0" w:space="0" w:color="auto"/>
        <w:bottom w:val="none" w:sz="0" w:space="0" w:color="auto"/>
        <w:right w:val="none" w:sz="0" w:space="0" w:color="auto"/>
      </w:divBdr>
    </w:div>
    <w:div w:id="86579495">
      <w:bodyDiv w:val="1"/>
      <w:marLeft w:val="0"/>
      <w:marRight w:val="0"/>
      <w:marTop w:val="0"/>
      <w:marBottom w:val="0"/>
      <w:divBdr>
        <w:top w:val="none" w:sz="0" w:space="0" w:color="auto"/>
        <w:left w:val="none" w:sz="0" w:space="0" w:color="auto"/>
        <w:bottom w:val="none" w:sz="0" w:space="0" w:color="auto"/>
        <w:right w:val="none" w:sz="0" w:space="0" w:color="auto"/>
      </w:divBdr>
    </w:div>
    <w:div w:id="148179467">
      <w:bodyDiv w:val="1"/>
      <w:marLeft w:val="0"/>
      <w:marRight w:val="0"/>
      <w:marTop w:val="0"/>
      <w:marBottom w:val="0"/>
      <w:divBdr>
        <w:top w:val="none" w:sz="0" w:space="0" w:color="auto"/>
        <w:left w:val="none" w:sz="0" w:space="0" w:color="auto"/>
        <w:bottom w:val="none" w:sz="0" w:space="0" w:color="auto"/>
        <w:right w:val="none" w:sz="0" w:space="0" w:color="auto"/>
      </w:divBdr>
    </w:div>
    <w:div w:id="169679219">
      <w:bodyDiv w:val="1"/>
      <w:marLeft w:val="0"/>
      <w:marRight w:val="0"/>
      <w:marTop w:val="0"/>
      <w:marBottom w:val="0"/>
      <w:divBdr>
        <w:top w:val="none" w:sz="0" w:space="0" w:color="auto"/>
        <w:left w:val="none" w:sz="0" w:space="0" w:color="auto"/>
        <w:bottom w:val="none" w:sz="0" w:space="0" w:color="auto"/>
        <w:right w:val="none" w:sz="0" w:space="0" w:color="auto"/>
      </w:divBdr>
    </w:div>
    <w:div w:id="175265316">
      <w:bodyDiv w:val="1"/>
      <w:marLeft w:val="0"/>
      <w:marRight w:val="0"/>
      <w:marTop w:val="0"/>
      <w:marBottom w:val="0"/>
      <w:divBdr>
        <w:top w:val="none" w:sz="0" w:space="0" w:color="auto"/>
        <w:left w:val="none" w:sz="0" w:space="0" w:color="auto"/>
        <w:bottom w:val="none" w:sz="0" w:space="0" w:color="auto"/>
        <w:right w:val="none" w:sz="0" w:space="0" w:color="auto"/>
      </w:divBdr>
    </w:div>
    <w:div w:id="194126923">
      <w:bodyDiv w:val="1"/>
      <w:marLeft w:val="0"/>
      <w:marRight w:val="0"/>
      <w:marTop w:val="0"/>
      <w:marBottom w:val="0"/>
      <w:divBdr>
        <w:top w:val="none" w:sz="0" w:space="0" w:color="auto"/>
        <w:left w:val="none" w:sz="0" w:space="0" w:color="auto"/>
        <w:bottom w:val="none" w:sz="0" w:space="0" w:color="auto"/>
        <w:right w:val="none" w:sz="0" w:space="0" w:color="auto"/>
      </w:divBdr>
    </w:div>
    <w:div w:id="249701300">
      <w:bodyDiv w:val="1"/>
      <w:marLeft w:val="0"/>
      <w:marRight w:val="0"/>
      <w:marTop w:val="0"/>
      <w:marBottom w:val="0"/>
      <w:divBdr>
        <w:top w:val="none" w:sz="0" w:space="0" w:color="auto"/>
        <w:left w:val="none" w:sz="0" w:space="0" w:color="auto"/>
        <w:bottom w:val="none" w:sz="0" w:space="0" w:color="auto"/>
        <w:right w:val="none" w:sz="0" w:space="0" w:color="auto"/>
      </w:divBdr>
    </w:div>
    <w:div w:id="250630552">
      <w:bodyDiv w:val="1"/>
      <w:marLeft w:val="0"/>
      <w:marRight w:val="0"/>
      <w:marTop w:val="0"/>
      <w:marBottom w:val="0"/>
      <w:divBdr>
        <w:top w:val="none" w:sz="0" w:space="0" w:color="auto"/>
        <w:left w:val="none" w:sz="0" w:space="0" w:color="auto"/>
        <w:bottom w:val="none" w:sz="0" w:space="0" w:color="auto"/>
        <w:right w:val="none" w:sz="0" w:space="0" w:color="auto"/>
      </w:divBdr>
    </w:div>
    <w:div w:id="256407838">
      <w:bodyDiv w:val="1"/>
      <w:marLeft w:val="0"/>
      <w:marRight w:val="0"/>
      <w:marTop w:val="0"/>
      <w:marBottom w:val="0"/>
      <w:divBdr>
        <w:top w:val="none" w:sz="0" w:space="0" w:color="auto"/>
        <w:left w:val="none" w:sz="0" w:space="0" w:color="auto"/>
        <w:bottom w:val="none" w:sz="0" w:space="0" w:color="auto"/>
        <w:right w:val="none" w:sz="0" w:space="0" w:color="auto"/>
      </w:divBdr>
    </w:div>
    <w:div w:id="351536431">
      <w:bodyDiv w:val="1"/>
      <w:marLeft w:val="0"/>
      <w:marRight w:val="0"/>
      <w:marTop w:val="0"/>
      <w:marBottom w:val="0"/>
      <w:divBdr>
        <w:top w:val="none" w:sz="0" w:space="0" w:color="auto"/>
        <w:left w:val="none" w:sz="0" w:space="0" w:color="auto"/>
        <w:bottom w:val="none" w:sz="0" w:space="0" w:color="auto"/>
        <w:right w:val="none" w:sz="0" w:space="0" w:color="auto"/>
      </w:divBdr>
    </w:div>
    <w:div w:id="458888225">
      <w:bodyDiv w:val="1"/>
      <w:marLeft w:val="0"/>
      <w:marRight w:val="0"/>
      <w:marTop w:val="0"/>
      <w:marBottom w:val="0"/>
      <w:divBdr>
        <w:top w:val="none" w:sz="0" w:space="0" w:color="auto"/>
        <w:left w:val="none" w:sz="0" w:space="0" w:color="auto"/>
        <w:bottom w:val="none" w:sz="0" w:space="0" w:color="auto"/>
        <w:right w:val="none" w:sz="0" w:space="0" w:color="auto"/>
      </w:divBdr>
    </w:div>
    <w:div w:id="526482870">
      <w:bodyDiv w:val="1"/>
      <w:marLeft w:val="0"/>
      <w:marRight w:val="0"/>
      <w:marTop w:val="0"/>
      <w:marBottom w:val="0"/>
      <w:divBdr>
        <w:top w:val="none" w:sz="0" w:space="0" w:color="auto"/>
        <w:left w:val="none" w:sz="0" w:space="0" w:color="auto"/>
        <w:bottom w:val="none" w:sz="0" w:space="0" w:color="auto"/>
        <w:right w:val="none" w:sz="0" w:space="0" w:color="auto"/>
      </w:divBdr>
    </w:div>
    <w:div w:id="566653543">
      <w:bodyDiv w:val="1"/>
      <w:marLeft w:val="0"/>
      <w:marRight w:val="0"/>
      <w:marTop w:val="0"/>
      <w:marBottom w:val="0"/>
      <w:divBdr>
        <w:top w:val="none" w:sz="0" w:space="0" w:color="auto"/>
        <w:left w:val="none" w:sz="0" w:space="0" w:color="auto"/>
        <w:bottom w:val="none" w:sz="0" w:space="0" w:color="auto"/>
        <w:right w:val="none" w:sz="0" w:space="0" w:color="auto"/>
      </w:divBdr>
    </w:div>
    <w:div w:id="611671824">
      <w:bodyDiv w:val="1"/>
      <w:marLeft w:val="0"/>
      <w:marRight w:val="0"/>
      <w:marTop w:val="0"/>
      <w:marBottom w:val="0"/>
      <w:divBdr>
        <w:top w:val="none" w:sz="0" w:space="0" w:color="auto"/>
        <w:left w:val="none" w:sz="0" w:space="0" w:color="auto"/>
        <w:bottom w:val="none" w:sz="0" w:space="0" w:color="auto"/>
        <w:right w:val="none" w:sz="0" w:space="0" w:color="auto"/>
      </w:divBdr>
    </w:div>
    <w:div w:id="644941381">
      <w:bodyDiv w:val="1"/>
      <w:marLeft w:val="0"/>
      <w:marRight w:val="0"/>
      <w:marTop w:val="0"/>
      <w:marBottom w:val="0"/>
      <w:divBdr>
        <w:top w:val="none" w:sz="0" w:space="0" w:color="auto"/>
        <w:left w:val="none" w:sz="0" w:space="0" w:color="auto"/>
        <w:bottom w:val="none" w:sz="0" w:space="0" w:color="auto"/>
        <w:right w:val="none" w:sz="0" w:space="0" w:color="auto"/>
      </w:divBdr>
    </w:div>
    <w:div w:id="668604985">
      <w:bodyDiv w:val="1"/>
      <w:marLeft w:val="0"/>
      <w:marRight w:val="0"/>
      <w:marTop w:val="0"/>
      <w:marBottom w:val="0"/>
      <w:divBdr>
        <w:top w:val="none" w:sz="0" w:space="0" w:color="auto"/>
        <w:left w:val="none" w:sz="0" w:space="0" w:color="auto"/>
        <w:bottom w:val="none" w:sz="0" w:space="0" w:color="auto"/>
        <w:right w:val="none" w:sz="0" w:space="0" w:color="auto"/>
      </w:divBdr>
    </w:div>
    <w:div w:id="689189011">
      <w:bodyDiv w:val="1"/>
      <w:marLeft w:val="0"/>
      <w:marRight w:val="0"/>
      <w:marTop w:val="0"/>
      <w:marBottom w:val="0"/>
      <w:divBdr>
        <w:top w:val="none" w:sz="0" w:space="0" w:color="auto"/>
        <w:left w:val="none" w:sz="0" w:space="0" w:color="auto"/>
        <w:bottom w:val="none" w:sz="0" w:space="0" w:color="auto"/>
        <w:right w:val="none" w:sz="0" w:space="0" w:color="auto"/>
      </w:divBdr>
    </w:div>
    <w:div w:id="740785751">
      <w:bodyDiv w:val="1"/>
      <w:marLeft w:val="0"/>
      <w:marRight w:val="0"/>
      <w:marTop w:val="0"/>
      <w:marBottom w:val="0"/>
      <w:divBdr>
        <w:top w:val="none" w:sz="0" w:space="0" w:color="auto"/>
        <w:left w:val="none" w:sz="0" w:space="0" w:color="auto"/>
        <w:bottom w:val="none" w:sz="0" w:space="0" w:color="auto"/>
        <w:right w:val="none" w:sz="0" w:space="0" w:color="auto"/>
      </w:divBdr>
    </w:div>
    <w:div w:id="775754208">
      <w:bodyDiv w:val="1"/>
      <w:marLeft w:val="0"/>
      <w:marRight w:val="0"/>
      <w:marTop w:val="0"/>
      <w:marBottom w:val="0"/>
      <w:divBdr>
        <w:top w:val="none" w:sz="0" w:space="0" w:color="auto"/>
        <w:left w:val="none" w:sz="0" w:space="0" w:color="auto"/>
        <w:bottom w:val="none" w:sz="0" w:space="0" w:color="auto"/>
        <w:right w:val="none" w:sz="0" w:space="0" w:color="auto"/>
      </w:divBdr>
    </w:div>
    <w:div w:id="794833647">
      <w:bodyDiv w:val="1"/>
      <w:marLeft w:val="0"/>
      <w:marRight w:val="0"/>
      <w:marTop w:val="0"/>
      <w:marBottom w:val="0"/>
      <w:divBdr>
        <w:top w:val="none" w:sz="0" w:space="0" w:color="auto"/>
        <w:left w:val="none" w:sz="0" w:space="0" w:color="auto"/>
        <w:bottom w:val="none" w:sz="0" w:space="0" w:color="auto"/>
        <w:right w:val="none" w:sz="0" w:space="0" w:color="auto"/>
      </w:divBdr>
    </w:div>
    <w:div w:id="1019938240">
      <w:bodyDiv w:val="1"/>
      <w:marLeft w:val="0"/>
      <w:marRight w:val="0"/>
      <w:marTop w:val="0"/>
      <w:marBottom w:val="0"/>
      <w:divBdr>
        <w:top w:val="none" w:sz="0" w:space="0" w:color="auto"/>
        <w:left w:val="none" w:sz="0" w:space="0" w:color="auto"/>
        <w:bottom w:val="none" w:sz="0" w:space="0" w:color="auto"/>
        <w:right w:val="none" w:sz="0" w:space="0" w:color="auto"/>
      </w:divBdr>
    </w:div>
    <w:div w:id="1044405683">
      <w:bodyDiv w:val="1"/>
      <w:marLeft w:val="0"/>
      <w:marRight w:val="0"/>
      <w:marTop w:val="0"/>
      <w:marBottom w:val="0"/>
      <w:divBdr>
        <w:top w:val="none" w:sz="0" w:space="0" w:color="auto"/>
        <w:left w:val="none" w:sz="0" w:space="0" w:color="auto"/>
        <w:bottom w:val="none" w:sz="0" w:space="0" w:color="auto"/>
        <w:right w:val="none" w:sz="0" w:space="0" w:color="auto"/>
      </w:divBdr>
    </w:div>
    <w:div w:id="1059937559">
      <w:bodyDiv w:val="1"/>
      <w:marLeft w:val="0"/>
      <w:marRight w:val="0"/>
      <w:marTop w:val="0"/>
      <w:marBottom w:val="0"/>
      <w:divBdr>
        <w:top w:val="none" w:sz="0" w:space="0" w:color="auto"/>
        <w:left w:val="none" w:sz="0" w:space="0" w:color="auto"/>
        <w:bottom w:val="none" w:sz="0" w:space="0" w:color="auto"/>
        <w:right w:val="none" w:sz="0" w:space="0" w:color="auto"/>
      </w:divBdr>
    </w:div>
    <w:div w:id="1205603938">
      <w:bodyDiv w:val="1"/>
      <w:marLeft w:val="0"/>
      <w:marRight w:val="0"/>
      <w:marTop w:val="0"/>
      <w:marBottom w:val="0"/>
      <w:divBdr>
        <w:top w:val="none" w:sz="0" w:space="0" w:color="auto"/>
        <w:left w:val="none" w:sz="0" w:space="0" w:color="auto"/>
        <w:bottom w:val="none" w:sz="0" w:space="0" w:color="auto"/>
        <w:right w:val="none" w:sz="0" w:space="0" w:color="auto"/>
      </w:divBdr>
    </w:div>
    <w:div w:id="1218324958">
      <w:bodyDiv w:val="1"/>
      <w:marLeft w:val="0"/>
      <w:marRight w:val="0"/>
      <w:marTop w:val="0"/>
      <w:marBottom w:val="0"/>
      <w:divBdr>
        <w:top w:val="none" w:sz="0" w:space="0" w:color="auto"/>
        <w:left w:val="none" w:sz="0" w:space="0" w:color="auto"/>
        <w:bottom w:val="none" w:sz="0" w:space="0" w:color="auto"/>
        <w:right w:val="none" w:sz="0" w:space="0" w:color="auto"/>
      </w:divBdr>
    </w:div>
    <w:div w:id="1225994570">
      <w:bodyDiv w:val="1"/>
      <w:marLeft w:val="0"/>
      <w:marRight w:val="0"/>
      <w:marTop w:val="0"/>
      <w:marBottom w:val="0"/>
      <w:divBdr>
        <w:top w:val="none" w:sz="0" w:space="0" w:color="auto"/>
        <w:left w:val="none" w:sz="0" w:space="0" w:color="auto"/>
        <w:bottom w:val="none" w:sz="0" w:space="0" w:color="auto"/>
        <w:right w:val="none" w:sz="0" w:space="0" w:color="auto"/>
      </w:divBdr>
    </w:div>
    <w:div w:id="1333724920">
      <w:bodyDiv w:val="1"/>
      <w:marLeft w:val="0"/>
      <w:marRight w:val="0"/>
      <w:marTop w:val="0"/>
      <w:marBottom w:val="0"/>
      <w:divBdr>
        <w:top w:val="none" w:sz="0" w:space="0" w:color="auto"/>
        <w:left w:val="none" w:sz="0" w:space="0" w:color="auto"/>
        <w:bottom w:val="none" w:sz="0" w:space="0" w:color="auto"/>
        <w:right w:val="none" w:sz="0" w:space="0" w:color="auto"/>
      </w:divBdr>
    </w:div>
    <w:div w:id="1340816345">
      <w:bodyDiv w:val="1"/>
      <w:marLeft w:val="0"/>
      <w:marRight w:val="0"/>
      <w:marTop w:val="0"/>
      <w:marBottom w:val="0"/>
      <w:divBdr>
        <w:top w:val="none" w:sz="0" w:space="0" w:color="auto"/>
        <w:left w:val="none" w:sz="0" w:space="0" w:color="auto"/>
        <w:bottom w:val="none" w:sz="0" w:space="0" w:color="auto"/>
        <w:right w:val="none" w:sz="0" w:space="0" w:color="auto"/>
      </w:divBdr>
    </w:div>
    <w:div w:id="1399013849">
      <w:bodyDiv w:val="1"/>
      <w:marLeft w:val="0"/>
      <w:marRight w:val="0"/>
      <w:marTop w:val="0"/>
      <w:marBottom w:val="0"/>
      <w:divBdr>
        <w:top w:val="none" w:sz="0" w:space="0" w:color="auto"/>
        <w:left w:val="none" w:sz="0" w:space="0" w:color="auto"/>
        <w:bottom w:val="none" w:sz="0" w:space="0" w:color="auto"/>
        <w:right w:val="none" w:sz="0" w:space="0" w:color="auto"/>
      </w:divBdr>
    </w:div>
    <w:div w:id="1420060436">
      <w:bodyDiv w:val="1"/>
      <w:marLeft w:val="0"/>
      <w:marRight w:val="0"/>
      <w:marTop w:val="0"/>
      <w:marBottom w:val="0"/>
      <w:divBdr>
        <w:top w:val="none" w:sz="0" w:space="0" w:color="auto"/>
        <w:left w:val="none" w:sz="0" w:space="0" w:color="auto"/>
        <w:bottom w:val="none" w:sz="0" w:space="0" w:color="auto"/>
        <w:right w:val="none" w:sz="0" w:space="0" w:color="auto"/>
      </w:divBdr>
    </w:div>
    <w:div w:id="1450902261">
      <w:bodyDiv w:val="1"/>
      <w:marLeft w:val="0"/>
      <w:marRight w:val="0"/>
      <w:marTop w:val="0"/>
      <w:marBottom w:val="0"/>
      <w:divBdr>
        <w:top w:val="none" w:sz="0" w:space="0" w:color="auto"/>
        <w:left w:val="none" w:sz="0" w:space="0" w:color="auto"/>
        <w:bottom w:val="none" w:sz="0" w:space="0" w:color="auto"/>
        <w:right w:val="none" w:sz="0" w:space="0" w:color="auto"/>
      </w:divBdr>
    </w:div>
    <w:div w:id="1515656940">
      <w:bodyDiv w:val="1"/>
      <w:marLeft w:val="0"/>
      <w:marRight w:val="0"/>
      <w:marTop w:val="0"/>
      <w:marBottom w:val="0"/>
      <w:divBdr>
        <w:top w:val="none" w:sz="0" w:space="0" w:color="auto"/>
        <w:left w:val="none" w:sz="0" w:space="0" w:color="auto"/>
        <w:bottom w:val="none" w:sz="0" w:space="0" w:color="auto"/>
        <w:right w:val="none" w:sz="0" w:space="0" w:color="auto"/>
      </w:divBdr>
    </w:div>
    <w:div w:id="1561014487">
      <w:bodyDiv w:val="1"/>
      <w:marLeft w:val="0"/>
      <w:marRight w:val="0"/>
      <w:marTop w:val="0"/>
      <w:marBottom w:val="0"/>
      <w:divBdr>
        <w:top w:val="none" w:sz="0" w:space="0" w:color="auto"/>
        <w:left w:val="none" w:sz="0" w:space="0" w:color="auto"/>
        <w:bottom w:val="none" w:sz="0" w:space="0" w:color="auto"/>
        <w:right w:val="none" w:sz="0" w:space="0" w:color="auto"/>
      </w:divBdr>
    </w:div>
    <w:div w:id="1688407880">
      <w:bodyDiv w:val="1"/>
      <w:marLeft w:val="0"/>
      <w:marRight w:val="0"/>
      <w:marTop w:val="0"/>
      <w:marBottom w:val="0"/>
      <w:divBdr>
        <w:top w:val="none" w:sz="0" w:space="0" w:color="auto"/>
        <w:left w:val="none" w:sz="0" w:space="0" w:color="auto"/>
        <w:bottom w:val="none" w:sz="0" w:space="0" w:color="auto"/>
        <w:right w:val="none" w:sz="0" w:space="0" w:color="auto"/>
      </w:divBdr>
    </w:div>
    <w:div w:id="1736929048">
      <w:bodyDiv w:val="1"/>
      <w:marLeft w:val="0"/>
      <w:marRight w:val="0"/>
      <w:marTop w:val="0"/>
      <w:marBottom w:val="0"/>
      <w:divBdr>
        <w:top w:val="none" w:sz="0" w:space="0" w:color="auto"/>
        <w:left w:val="none" w:sz="0" w:space="0" w:color="auto"/>
        <w:bottom w:val="none" w:sz="0" w:space="0" w:color="auto"/>
        <w:right w:val="none" w:sz="0" w:space="0" w:color="auto"/>
      </w:divBdr>
    </w:div>
    <w:div w:id="1765883402">
      <w:bodyDiv w:val="1"/>
      <w:marLeft w:val="0"/>
      <w:marRight w:val="0"/>
      <w:marTop w:val="0"/>
      <w:marBottom w:val="0"/>
      <w:divBdr>
        <w:top w:val="none" w:sz="0" w:space="0" w:color="auto"/>
        <w:left w:val="none" w:sz="0" w:space="0" w:color="auto"/>
        <w:bottom w:val="none" w:sz="0" w:space="0" w:color="auto"/>
        <w:right w:val="none" w:sz="0" w:space="0" w:color="auto"/>
      </w:divBdr>
    </w:div>
    <w:div w:id="1779904662">
      <w:bodyDiv w:val="1"/>
      <w:marLeft w:val="0"/>
      <w:marRight w:val="0"/>
      <w:marTop w:val="0"/>
      <w:marBottom w:val="0"/>
      <w:divBdr>
        <w:top w:val="none" w:sz="0" w:space="0" w:color="auto"/>
        <w:left w:val="none" w:sz="0" w:space="0" w:color="auto"/>
        <w:bottom w:val="none" w:sz="0" w:space="0" w:color="auto"/>
        <w:right w:val="none" w:sz="0" w:space="0" w:color="auto"/>
      </w:divBdr>
    </w:div>
    <w:div w:id="1786387959">
      <w:bodyDiv w:val="1"/>
      <w:marLeft w:val="0"/>
      <w:marRight w:val="0"/>
      <w:marTop w:val="0"/>
      <w:marBottom w:val="0"/>
      <w:divBdr>
        <w:top w:val="none" w:sz="0" w:space="0" w:color="auto"/>
        <w:left w:val="none" w:sz="0" w:space="0" w:color="auto"/>
        <w:bottom w:val="none" w:sz="0" w:space="0" w:color="auto"/>
        <w:right w:val="none" w:sz="0" w:space="0" w:color="auto"/>
      </w:divBdr>
    </w:div>
    <w:div w:id="1827624499">
      <w:bodyDiv w:val="1"/>
      <w:marLeft w:val="0"/>
      <w:marRight w:val="0"/>
      <w:marTop w:val="0"/>
      <w:marBottom w:val="0"/>
      <w:divBdr>
        <w:top w:val="none" w:sz="0" w:space="0" w:color="auto"/>
        <w:left w:val="none" w:sz="0" w:space="0" w:color="auto"/>
        <w:bottom w:val="none" w:sz="0" w:space="0" w:color="auto"/>
        <w:right w:val="none" w:sz="0" w:space="0" w:color="auto"/>
      </w:divBdr>
    </w:div>
    <w:div w:id="1847940807">
      <w:bodyDiv w:val="1"/>
      <w:marLeft w:val="0"/>
      <w:marRight w:val="0"/>
      <w:marTop w:val="0"/>
      <w:marBottom w:val="0"/>
      <w:divBdr>
        <w:top w:val="none" w:sz="0" w:space="0" w:color="auto"/>
        <w:left w:val="none" w:sz="0" w:space="0" w:color="auto"/>
        <w:bottom w:val="none" w:sz="0" w:space="0" w:color="auto"/>
        <w:right w:val="none" w:sz="0" w:space="0" w:color="auto"/>
      </w:divBdr>
    </w:div>
    <w:div w:id="1922057386">
      <w:bodyDiv w:val="1"/>
      <w:marLeft w:val="0"/>
      <w:marRight w:val="0"/>
      <w:marTop w:val="0"/>
      <w:marBottom w:val="0"/>
      <w:divBdr>
        <w:top w:val="none" w:sz="0" w:space="0" w:color="auto"/>
        <w:left w:val="none" w:sz="0" w:space="0" w:color="auto"/>
        <w:bottom w:val="none" w:sz="0" w:space="0" w:color="auto"/>
        <w:right w:val="none" w:sz="0" w:space="0" w:color="auto"/>
      </w:divBdr>
    </w:div>
    <w:div w:id="1954510550">
      <w:bodyDiv w:val="1"/>
      <w:marLeft w:val="0"/>
      <w:marRight w:val="0"/>
      <w:marTop w:val="0"/>
      <w:marBottom w:val="0"/>
      <w:divBdr>
        <w:top w:val="none" w:sz="0" w:space="0" w:color="auto"/>
        <w:left w:val="none" w:sz="0" w:space="0" w:color="auto"/>
        <w:bottom w:val="none" w:sz="0" w:space="0" w:color="auto"/>
        <w:right w:val="none" w:sz="0" w:space="0" w:color="auto"/>
      </w:divBdr>
    </w:div>
    <w:div w:id="1978602683">
      <w:bodyDiv w:val="1"/>
      <w:marLeft w:val="0"/>
      <w:marRight w:val="0"/>
      <w:marTop w:val="0"/>
      <w:marBottom w:val="0"/>
      <w:divBdr>
        <w:top w:val="none" w:sz="0" w:space="0" w:color="auto"/>
        <w:left w:val="none" w:sz="0" w:space="0" w:color="auto"/>
        <w:bottom w:val="none" w:sz="0" w:space="0" w:color="auto"/>
        <w:right w:val="none" w:sz="0" w:space="0" w:color="auto"/>
      </w:divBdr>
    </w:div>
    <w:div w:id="2066681123">
      <w:bodyDiv w:val="1"/>
      <w:marLeft w:val="0"/>
      <w:marRight w:val="0"/>
      <w:marTop w:val="0"/>
      <w:marBottom w:val="0"/>
      <w:divBdr>
        <w:top w:val="none" w:sz="0" w:space="0" w:color="auto"/>
        <w:left w:val="none" w:sz="0" w:space="0" w:color="auto"/>
        <w:bottom w:val="none" w:sz="0" w:space="0" w:color="auto"/>
        <w:right w:val="none" w:sz="0" w:space="0" w:color="auto"/>
      </w:divBdr>
    </w:div>
    <w:div w:id="21357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Dg6MzU6MTg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2149-8B44-4D9D-82DB-4D9EFEFF27E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25ACD8E-0173-4F77-892B-9B450404565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2AF0F2F-7C9C-4294-BDFE-0739E56C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3462</Words>
  <Characters>19737</Characters>
  <Application>Microsoft Office Word</Application>
  <DocSecurity>0</DocSecurity>
  <Lines>164</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power futures market</vt:lpstr>
      <vt:lpstr>power futures market</vt:lpstr>
    </vt:vector>
  </TitlesOfParts>
  <Company>eNERJİ PİYASALARI İŞLETME ANONİM ŞİRKETİ ENERGY EXCHANGE ISTANBUL</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futures market</dc:title>
  <dc:subject>Methodology for the Calculation of Market and Participant Position Limits</dc:subject>
  <dc:creator>ENERJİ PİYASALARI İŞLETME</dc:creator>
  <cp:keywords>Tasnif Dışı/Kişisel Veri içermez</cp:keywords>
  <dc:description/>
  <cp:lastModifiedBy>Yusuf Sinan Akıncı</cp:lastModifiedBy>
  <cp:revision>2</cp:revision>
  <cp:lastPrinted>2021-10-14T07:09:00Z</cp:lastPrinted>
  <dcterms:created xsi:type="dcterms:W3CDTF">2022-04-28T12:18:00Z</dcterms:created>
  <dcterms:modified xsi:type="dcterms:W3CDTF">2022-04-28T12:18:00Z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f7a9ffb8-2c80-45d4-8bfa-dd8868a8f3c3</vt:lpwstr>
  </property>
  <property fmtid="{D5CDD505-2E9C-101B-9397-08002B2CF9AE}" pid="3" name="bjSaver">
    <vt:lpwstr>OZydPrhnyZ+tpvpKJWwZ1XHkfJ1rSXFl</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{256C2149-8B44-4D9D-82DB-4D9EFEFF27EE}</vt:lpwstr>
  </property>
</Properties>
</file>