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5763432" w:displacedByCustomXml="next"/>
    <w:sdt>
      <w:sdtPr>
        <w:rPr>
          <w:color w:val="5B9BD5" w:themeColor="accent1"/>
        </w:rPr>
        <w:id w:val="1858463336"/>
        <w:docPartObj>
          <w:docPartGallery w:val="Cover Pages"/>
          <w:docPartUnique/>
        </w:docPartObj>
      </w:sdtPr>
      <w:sdtEndPr>
        <w:rPr>
          <w:color w:val="FFFFFF" w:themeColor="background1"/>
        </w:rPr>
      </w:sdtEndPr>
      <w:sdtContent>
        <w:p w:rsidR="00E37FD8" w:rsidRDefault="00E37FD8">
          <w:pPr>
            <w:pStyle w:val="NoSpacing"/>
            <w:spacing w:before="1540" w:after="240"/>
            <w:jc w:val="center"/>
            <w:rPr>
              <w:color w:val="5B9BD5" w:themeColor="accent1"/>
            </w:rPr>
          </w:pPr>
          <w:r>
            <w:rPr>
              <w:noProof/>
              <w:color w:val="5B9BD5" w:themeColor="accent1"/>
            </w:rPr>
            <mc:AlternateContent>
              <mc:Choice Requires="wps">
                <w:drawing>
                  <wp:anchor distT="0" distB="0" distL="114300" distR="114300" simplePos="0" relativeHeight="251663360" behindDoc="0" locked="0" layoutInCell="1" allowOverlap="1">
                    <wp:simplePos x="0" y="0"/>
                    <wp:positionH relativeFrom="margin">
                      <wp:posOffset>-188955</wp:posOffset>
                    </wp:positionH>
                    <wp:positionV relativeFrom="page">
                      <wp:posOffset>906145</wp:posOffset>
                    </wp:positionV>
                    <wp:extent cx="6553200" cy="557784"/>
                    <wp:effectExtent l="0" t="0" r="0" b="12700"/>
                    <wp:wrapNone/>
                    <wp:docPr id="142" name="Metin Kutusu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Tarih"/>
                                  <w:tag w:val=""/>
                                  <w:id w:val="197127006"/>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rsidR="009627E7" w:rsidRDefault="009627E7" w:rsidP="00EF285C">
                                    <w:pPr>
                                      <w:pStyle w:val="NoSpacing"/>
                                      <w:spacing w:after="40"/>
                                      <w:jc w:val="center"/>
                                      <w:rPr>
                                        <w:caps/>
                                        <w:color w:val="5B9BD5" w:themeColor="accent1"/>
                                        <w:sz w:val="28"/>
                                        <w:szCs w:val="28"/>
                                      </w:rPr>
                                    </w:pPr>
                                    <w:r>
                                      <w:rPr>
                                        <w:caps/>
                                        <w:color w:val="5B9BD5" w:themeColor="accent1"/>
                                        <w:sz w:val="28"/>
                                        <w:szCs w:val="28"/>
                                      </w:rPr>
                                      <w:t xml:space="preserve">     </w:t>
                                    </w:r>
                                  </w:p>
                                </w:sdtContent>
                              </w:sdt>
                              <w:p w:rsidR="009627E7" w:rsidRPr="00E37FD8" w:rsidRDefault="00080334" w:rsidP="00EF285C">
                                <w:pPr>
                                  <w:pStyle w:val="NoSpacing"/>
                                  <w:jc w:val="center"/>
                                  <w:rPr>
                                    <w:color w:val="5B9BD5" w:themeColor="accent1"/>
                                    <w:sz w:val="44"/>
                                  </w:rPr>
                                </w:pPr>
                                <w:sdt>
                                  <w:sdtPr>
                                    <w:rPr>
                                      <w:caps/>
                                      <w:color w:val="5B9BD5" w:themeColor="accent1"/>
                                      <w:sz w:val="44"/>
                                    </w:rPr>
                                    <w:alias w:val="Şirket"/>
                                    <w:tag w:val=""/>
                                    <w:id w:val="1390145197"/>
                                    <w:dataBinding w:prefixMappings="xmlns:ns0='http://schemas.openxmlformats.org/officeDocument/2006/extended-properties' " w:xpath="/ns0:Properties[1]/ns0:Company[1]" w:storeItemID="{6668398D-A668-4E3E-A5EB-62B293D839F1}"/>
                                    <w:text/>
                                  </w:sdtPr>
                                  <w:sdtEndPr/>
                                  <w:sdtContent>
                                    <w:r w:rsidR="009627E7" w:rsidRPr="00E37FD8">
                                      <w:rPr>
                                        <w:caps/>
                                        <w:color w:val="5B9BD5" w:themeColor="accent1"/>
                                        <w:sz w:val="44"/>
                                      </w:rPr>
                                      <w:t>eNERJİ PİYASALARI İŞLETME ANONİM ŞİRKETİ</w:t>
                                    </w:r>
                                  </w:sdtContent>
                                </w:sdt>
                              </w:p>
                              <w:p w:rsidR="009627E7" w:rsidRDefault="00080334" w:rsidP="00EF285C">
                                <w:pPr>
                                  <w:pStyle w:val="NoSpacing"/>
                                  <w:jc w:val="center"/>
                                  <w:rPr>
                                    <w:color w:val="5B9BD5" w:themeColor="accent1"/>
                                  </w:rPr>
                                </w:pPr>
                                <w:sdt>
                                  <w:sdtPr>
                                    <w:rPr>
                                      <w:color w:val="5B9BD5" w:themeColor="accent1"/>
                                      <w:sz w:val="28"/>
                                    </w:rPr>
                                    <w:alias w:val="Adres"/>
                                    <w:tag w:val=""/>
                                    <w:id w:val="-726379553"/>
                                    <w:showingPlcHdr/>
                                    <w:dataBinding w:prefixMappings="xmlns:ns0='http://schemas.microsoft.com/office/2006/coverPageProps' " w:xpath="/ns0:CoverPageProperties[1]/ns0:CompanyAddress[1]" w:storeItemID="{55AF091B-3C7A-41E3-B477-F2FDAA23CFDA}"/>
                                    <w:text/>
                                  </w:sdtPr>
                                  <w:sdtEndPr>
                                    <w:rPr>
                                      <w:sz w:val="22"/>
                                    </w:rPr>
                                  </w:sdtEndPr>
                                  <w:sdtContent>
                                    <w:r w:rsidR="009627E7">
                                      <w:rPr>
                                        <w:color w:val="5B9BD5" w:themeColor="accent1"/>
                                        <w:sz w:val="2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42" o:spid="_x0000_s1026" type="#_x0000_t202" style="position:absolute;left:0;text-align:left;margin-left:-14.9pt;margin-top:71.35pt;width:516pt;height:43.9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gaegIAAFoFAAAOAAAAZHJzL2Uyb0RvYy54bWysVN9P2zAQfp+0/8Hy+0gpFFBFijoQ0zQG&#10;aDDx7Dp2G832efalSffX7+wkBbG9MO3Fudx9d74f3/n8orOGbVWINbiSHx5MOFNOQlW7dcm/P15/&#10;OOMsonCVMOBUyXcq8ovF+3fnrZ+rKWzAVCowCuLivPUl3yD6eVFEuVFWxAPwypFRQ7AC6TesiyqI&#10;lqJbU0wnk5OihVD5AFLFSNqr3sgXOb7WSuKd1lEhMyWn3DCfIZ+rdBaLczFfB+E3tRzSEP+QhRW1&#10;o0v3oa4ECtaE+o9QtpYBImg8kGAL0LqWKtdA1RxOXlXzsBFe5VqoOdHv2xT/X1h5u70PrK5odsdT&#10;zpywNKSvCmvHvjTYxIYlPXWp9XFO4AdPcOw+Qkceoz6SMhXf6WDTl8piZKd+7/Y9Vh0yScqT2eyI&#10;BseZJNtsdnp6dpzCFM/ePkT8pMCyJJQ80Axza8X2JmIPHSHpMgfXtTF5jsaxlm44mk2yw95CwY1L&#10;WJUZMYRJFfWZZwl3RiWMcd+Upo7kApIic1FdmsC2glgkpFQOc+05LqETSlMSb3Ec8M9ZvcW5r2O8&#10;GRzunW3tIOTqX6Vd/RhT1j2eev6i7iRit+qGSa+g2tGgA/QLE728rmkaNyLivQi0ITRA2nq8o0Mb&#10;oK7DIHG2gfDrb/qEJ+KSlbOWNq7k8WcjguLMfHZE6bSeoxBGYTUKrrGXQO0/pPfEyyySQ0AzijqA&#10;faLHYJluIZNwku4q+WoUL7Hfe3pMpFouM4iW0Au8cQ9eptBpGolbj92TCH4gIBJ1b2HcRTF/xcMe&#10;m4nilw0SGzNJU0P7Lg6NpgXONB8em/RCvPzPqOcncfEbAAD//wMAUEsDBBQABgAIAAAAIQDuL5tF&#10;4gAAAAwBAAAPAAAAZHJzL2Rvd25yZXYueG1sTI/NTsMwEITvSLyDtUhcUGtjfgIhToVQOaBKCAoH&#10;uDnxEkeN11Hstoanxz3BcTSjmW+qRXID2+EUek8KzucCGFLrTU+dgve3x9kNsBA1GT14QgXfGGBR&#10;Hx9VujR+T6+4W8eO5RIKpVZgYxxLzkNr0ekw9yNS9r785HTMcuq4mfQ+l7uBSyGuudM95QWrR3yw&#10;2G7WW6fgKax+gl2mj5fnYtmcNYXZfKao1OlJur8DFjHFvzAc8DM61Jmp8VsygQ0KZvI2o8dsXMoC&#10;2CEhhJTAGgXyQlwBryv+/0T9CwAA//8DAFBLAQItABQABgAIAAAAIQC2gziS/gAAAOEBAAATAAAA&#10;AAAAAAAAAAAAAAAAAABbQ29udGVudF9UeXBlc10ueG1sUEsBAi0AFAAGAAgAAAAhADj9If/WAAAA&#10;lAEAAAsAAAAAAAAAAAAAAAAALwEAAF9yZWxzLy5yZWxzUEsBAi0AFAAGAAgAAAAhAN4MiBp6AgAA&#10;WgUAAA4AAAAAAAAAAAAAAAAALgIAAGRycy9lMm9Eb2MueG1sUEsBAi0AFAAGAAgAAAAhAO4vm0Xi&#10;AAAADAEAAA8AAAAAAAAAAAAAAAAA1AQAAGRycy9kb3ducmV2LnhtbFBLBQYAAAAABAAEAPMAAADj&#10;BQAAAAA=&#10;" filled="f" stroked="f" strokeweight=".5pt">
                    <v:textbox style="mso-fit-shape-to-text:t" inset="0,0,0,0">
                      <w:txbxContent>
                        <w:sdt>
                          <w:sdtPr>
                            <w:rPr>
                              <w:caps/>
                              <w:color w:val="5B9BD5" w:themeColor="accent1"/>
                              <w:sz w:val="28"/>
                              <w:szCs w:val="28"/>
                            </w:rPr>
                            <w:alias w:val="Tarih"/>
                            <w:tag w:val=""/>
                            <w:id w:val="197127006"/>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Content>
                            <w:p w:rsidR="009627E7" w:rsidRDefault="009627E7" w:rsidP="00EF285C">
                              <w:pPr>
                                <w:pStyle w:val="NoSpacing"/>
                                <w:spacing w:after="40"/>
                                <w:jc w:val="center"/>
                                <w:rPr>
                                  <w:caps/>
                                  <w:color w:val="5B9BD5" w:themeColor="accent1"/>
                                  <w:sz w:val="28"/>
                                  <w:szCs w:val="28"/>
                                </w:rPr>
                              </w:pPr>
                              <w:r>
                                <w:rPr>
                                  <w:caps/>
                                  <w:color w:val="5B9BD5" w:themeColor="accent1"/>
                                  <w:sz w:val="28"/>
                                  <w:szCs w:val="28"/>
                                </w:rPr>
                                <w:t xml:space="preserve">     </w:t>
                              </w:r>
                            </w:p>
                          </w:sdtContent>
                        </w:sdt>
                        <w:p w:rsidR="009627E7" w:rsidRPr="00E37FD8" w:rsidRDefault="009627E7" w:rsidP="00EF285C">
                          <w:pPr>
                            <w:pStyle w:val="NoSpacing"/>
                            <w:jc w:val="center"/>
                            <w:rPr>
                              <w:color w:val="5B9BD5" w:themeColor="accent1"/>
                              <w:sz w:val="44"/>
                            </w:rPr>
                          </w:pPr>
                          <w:sdt>
                            <w:sdtPr>
                              <w:rPr>
                                <w:caps/>
                                <w:color w:val="5B9BD5" w:themeColor="accent1"/>
                                <w:sz w:val="44"/>
                              </w:rPr>
                              <w:alias w:val="Şirket"/>
                              <w:tag w:val=""/>
                              <w:id w:val="1390145197"/>
                              <w:dataBinding w:prefixMappings="xmlns:ns0='http://schemas.openxmlformats.org/officeDocument/2006/extended-properties' " w:xpath="/ns0:Properties[1]/ns0:Company[1]" w:storeItemID="{6668398D-A668-4E3E-A5EB-62B293D839F1}"/>
                              <w:text/>
                            </w:sdtPr>
                            <w:sdtContent>
                              <w:r w:rsidRPr="00E37FD8">
                                <w:rPr>
                                  <w:caps/>
                                  <w:color w:val="5B9BD5" w:themeColor="accent1"/>
                                  <w:sz w:val="44"/>
                                </w:rPr>
                                <w:t>eNERJİ PİYASALARI İŞLETME ANONİM ŞİRKETİ</w:t>
                              </w:r>
                            </w:sdtContent>
                          </w:sdt>
                        </w:p>
                        <w:p w:rsidR="009627E7" w:rsidRDefault="009627E7" w:rsidP="00EF285C">
                          <w:pPr>
                            <w:pStyle w:val="NoSpacing"/>
                            <w:jc w:val="center"/>
                            <w:rPr>
                              <w:color w:val="5B9BD5" w:themeColor="accent1"/>
                            </w:rPr>
                          </w:pPr>
                          <w:sdt>
                            <w:sdtPr>
                              <w:rPr>
                                <w:color w:val="5B9BD5" w:themeColor="accent1"/>
                                <w:sz w:val="28"/>
                              </w:rPr>
                              <w:alias w:val="Adres"/>
                              <w:tag w:val=""/>
                              <w:id w:val="-726379553"/>
                              <w:showingPlcHdr/>
                              <w:dataBinding w:prefixMappings="xmlns:ns0='http://schemas.microsoft.com/office/2006/coverPageProps' " w:xpath="/ns0:CoverPageProperties[1]/ns0:CompanyAddress[1]" w:storeItemID="{55AF091B-3C7A-41E3-B477-F2FDAA23CFDA}"/>
                              <w:text/>
                            </w:sdtPr>
                            <w:sdtEndPr>
                              <w:rPr>
                                <w:sz w:val="22"/>
                              </w:rPr>
                            </w:sdtEndPr>
                            <w:sdtContent>
                              <w:r>
                                <w:rPr>
                                  <w:color w:val="5B9BD5" w:themeColor="accent1"/>
                                  <w:sz w:val="28"/>
                                </w:rPr>
                                <w:t xml:space="preserve">     </w:t>
                              </w:r>
                            </w:sdtContent>
                          </w:sdt>
                        </w:p>
                      </w:txbxContent>
                    </v:textbox>
                    <w10:wrap anchorx="margin" anchory="page"/>
                  </v:shape>
                </w:pict>
              </mc:Fallback>
            </mc:AlternateContent>
          </w:r>
        </w:p>
        <w:p w:rsidR="00E37FD8" w:rsidRDefault="00E37FD8" w:rsidP="00E37FD8">
          <w:pPr>
            <w:pStyle w:val="NoSpacing"/>
            <w:spacing w:before="1540" w:after="240"/>
            <w:rPr>
              <w:color w:val="5B9BD5" w:themeColor="accent1"/>
            </w:rPr>
          </w:pPr>
        </w:p>
        <w:sdt>
          <w:sdtPr>
            <w:rPr>
              <w:rFonts w:asciiTheme="majorHAnsi" w:eastAsiaTheme="majorEastAsia" w:hAnsiTheme="majorHAnsi" w:cstheme="majorBidi"/>
              <w:b/>
              <w:caps/>
              <w:color w:val="5B9BD5" w:themeColor="accent1"/>
              <w:sz w:val="72"/>
              <w:szCs w:val="72"/>
            </w:rPr>
            <w:alias w:val="Başlık"/>
            <w:tag w:val=""/>
            <w:id w:val="1735040861"/>
            <w:placeholder>
              <w:docPart w:val="C12E12A18C304450A93CDE88B8FE3CF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E37FD8" w:rsidRPr="00E37FD8" w:rsidRDefault="00E37FD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5B9BD5" w:themeColor="accent1"/>
                  <w:sz w:val="80"/>
                  <w:szCs w:val="80"/>
                </w:rPr>
              </w:pPr>
              <w:r w:rsidRPr="00E37FD8">
                <w:rPr>
                  <w:rFonts w:asciiTheme="majorHAnsi" w:eastAsiaTheme="majorEastAsia" w:hAnsiTheme="majorHAnsi" w:cstheme="majorBidi"/>
                  <w:b/>
                  <w:caps/>
                  <w:color w:val="5B9BD5" w:themeColor="accent1"/>
                  <w:sz w:val="72"/>
                  <w:szCs w:val="72"/>
                </w:rPr>
                <w:t>VADELİ ELEKTRİK PİYASASI</w:t>
              </w:r>
            </w:p>
          </w:sdtContent>
        </w:sdt>
        <w:p w:rsidR="00CB6E5A" w:rsidRDefault="00080334" w:rsidP="00CB6E5A">
          <w:pPr>
            <w:pStyle w:val="NoSpacing"/>
            <w:jc w:val="center"/>
            <w:rPr>
              <w:b/>
              <w:color w:val="5B9BD5" w:themeColor="accent1"/>
              <w:sz w:val="44"/>
              <w:szCs w:val="28"/>
            </w:rPr>
          </w:pPr>
          <w:sdt>
            <w:sdtPr>
              <w:rPr>
                <w:b/>
                <w:color w:val="5B9BD5" w:themeColor="accent1"/>
                <w:sz w:val="44"/>
                <w:szCs w:val="28"/>
              </w:rPr>
              <w:alias w:val="Altyazı"/>
              <w:tag w:val=""/>
              <w:id w:val="328029620"/>
              <w:placeholder>
                <w:docPart w:val="9E3F0DA2854F49EB9DD90CCFC3544023"/>
              </w:placeholder>
              <w:dataBinding w:prefixMappings="xmlns:ns0='http://purl.org/dc/elements/1.1/' xmlns:ns1='http://schemas.openxmlformats.org/package/2006/metadata/core-properties' " w:xpath="/ns1:coreProperties[1]/ns0:subject[1]" w:storeItemID="{6C3C8BC8-F283-45AE-878A-BAB7291924A1}"/>
              <w:text/>
            </w:sdtPr>
            <w:sdtEndPr/>
            <w:sdtContent>
              <w:r w:rsidR="000B616B">
                <w:rPr>
                  <w:b/>
                  <w:color w:val="5B9BD5" w:themeColor="accent1"/>
                  <w:sz w:val="44"/>
                  <w:szCs w:val="28"/>
                </w:rPr>
                <w:t>Piyasa ve Katılımcı Pozisyon Limitleri Hesaplama Metodolojisi</w:t>
              </w:r>
            </w:sdtContent>
          </w:sdt>
        </w:p>
        <w:p w:rsidR="00E37FD8" w:rsidRPr="00CB6E5A" w:rsidRDefault="00CB6E5A" w:rsidP="00CB6E5A">
          <w:pPr>
            <w:pStyle w:val="NoSpacing"/>
            <w:jc w:val="center"/>
            <w:rPr>
              <w:b/>
              <w:color w:val="5B9BD5" w:themeColor="accent1"/>
              <w:sz w:val="44"/>
              <w:szCs w:val="28"/>
            </w:rPr>
          </w:pPr>
          <w:r w:rsidRPr="00CB6E5A">
            <w:rPr>
              <w:b/>
              <w:color w:val="5B9BD5" w:themeColor="accent1"/>
              <w:sz w:val="24"/>
              <w:szCs w:val="28"/>
            </w:rPr>
            <w:t>12.10.2021</w:t>
          </w:r>
        </w:p>
        <w:p w:rsidR="00E37FD8" w:rsidRDefault="00E37FD8" w:rsidP="00E37FD8">
          <w:pPr>
            <w:pStyle w:val="NoSpacing"/>
            <w:spacing w:before="480"/>
            <w:jc w:val="center"/>
            <w:rPr>
              <w:color w:val="FFFFFF" w:themeColor="background1"/>
            </w:rPr>
          </w:pPr>
        </w:p>
        <w:p w:rsidR="00E37FD8" w:rsidRDefault="00E37FD8" w:rsidP="00EF285C">
          <w:pPr>
            <w:pStyle w:val="NoSpacing"/>
            <w:spacing w:before="480"/>
            <w:jc w:val="center"/>
            <w:rPr>
              <w:color w:val="FFFFFF" w:themeColor="background1"/>
            </w:rPr>
          </w:pPr>
          <w:r>
            <w:rPr>
              <w:noProof/>
              <w:color w:val="FFFFFF" w:themeColor="background1"/>
            </w:rPr>
            <w:drawing>
              <wp:inline distT="0" distB="0" distL="0" distR="0" wp14:anchorId="28868413" wp14:editId="4B85A1A5">
                <wp:extent cx="4365559" cy="324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iaş_erke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5559" cy="3240000"/>
                        </a:xfrm>
                        <a:prstGeom prst="rect">
                          <a:avLst/>
                        </a:prstGeom>
                      </pic:spPr>
                    </pic:pic>
                  </a:graphicData>
                </a:graphic>
              </wp:inline>
            </w:drawing>
          </w:r>
        </w:p>
        <w:p w:rsidR="00E37FD8" w:rsidRPr="00E37FD8" w:rsidRDefault="00E37FD8" w:rsidP="00E37FD8">
          <w:pPr>
            <w:pStyle w:val="NoSpacing"/>
            <w:spacing w:before="480"/>
            <w:jc w:val="center"/>
            <w:rPr>
              <w:color w:val="5B9BD5" w:themeColor="accent1"/>
            </w:rPr>
          </w:pPr>
          <w:r>
            <w:rPr>
              <w:color w:val="FFFFFF" w:themeColor="background1"/>
            </w:rPr>
            <w:br w:type="page"/>
          </w:r>
        </w:p>
      </w:sdtContent>
    </w:sdt>
    <w:sdt>
      <w:sdtPr>
        <w:rPr>
          <w:rFonts w:asciiTheme="minorHAnsi" w:eastAsiaTheme="minorHAnsi" w:hAnsiTheme="minorHAnsi" w:cstheme="minorBidi"/>
          <w:color w:val="auto"/>
          <w:sz w:val="22"/>
          <w:szCs w:val="22"/>
          <w:lang w:eastAsia="en-US"/>
        </w:rPr>
        <w:id w:val="250932245"/>
        <w:docPartObj>
          <w:docPartGallery w:val="Table of Contents"/>
          <w:docPartUnique/>
        </w:docPartObj>
      </w:sdtPr>
      <w:sdtEndPr>
        <w:rPr>
          <w:b/>
          <w:bCs/>
        </w:rPr>
      </w:sdtEndPr>
      <w:sdtContent>
        <w:p w:rsidR="00A6554C" w:rsidRDefault="00A6554C">
          <w:pPr>
            <w:pStyle w:val="TOCHeading"/>
          </w:pPr>
          <w:r>
            <w:t>İçindekiler</w:t>
          </w:r>
        </w:p>
        <w:p w:rsidR="000B616B" w:rsidRDefault="00A6554C">
          <w:pPr>
            <w:pStyle w:val="TOC1"/>
            <w:tabs>
              <w:tab w:val="left" w:pos="440"/>
              <w:tab w:val="right" w:leader="dot" w:pos="9062"/>
            </w:tabs>
            <w:rPr>
              <w:rFonts w:cstheme="minorBidi"/>
              <w:noProof/>
            </w:rPr>
          </w:pPr>
          <w:r>
            <w:rPr>
              <w:b/>
              <w:bCs/>
            </w:rPr>
            <w:fldChar w:fldCharType="begin"/>
          </w:r>
          <w:r>
            <w:rPr>
              <w:b/>
              <w:bCs/>
            </w:rPr>
            <w:instrText xml:space="preserve"> TOC \o "1-3" \h \z \u </w:instrText>
          </w:r>
          <w:r>
            <w:rPr>
              <w:b/>
              <w:bCs/>
            </w:rPr>
            <w:fldChar w:fldCharType="separate"/>
          </w:r>
          <w:hyperlink w:anchor="_Toc85098590" w:history="1">
            <w:r w:rsidR="000B616B" w:rsidRPr="00D0496D">
              <w:rPr>
                <w:rStyle w:val="Hyperlink"/>
                <w:rFonts w:cstheme="majorHAnsi"/>
                <w:noProof/>
              </w:rPr>
              <w:t>1</w:t>
            </w:r>
            <w:r w:rsidR="000B616B">
              <w:rPr>
                <w:rFonts w:cstheme="minorBidi"/>
                <w:noProof/>
              </w:rPr>
              <w:tab/>
            </w:r>
            <w:r w:rsidR="000B616B" w:rsidRPr="00D0496D">
              <w:rPr>
                <w:rStyle w:val="Hyperlink"/>
                <w:rFonts w:cstheme="majorHAnsi"/>
                <w:noProof/>
              </w:rPr>
              <w:t>Piyasa ve Katılımcı Pozisyon Limitleri</w:t>
            </w:r>
            <w:r w:rsidR="000B616B">
              <w:rPr>
                <w:noProof/>
                <w:webHidden/>
              </w:rPr>
              <w:tab/>
            </w:r>
            <w:r w:rsidR="000B616B">
              <w:rPr>
                <w:noProof/>
                <w:webHidden/>
              </w:rPr>
              <w:fldChar w:fldCharType="begin"/>
            </w:r>
            <w:r w:rsidR="000B616B">
              <w:rPr>
                <w:noProof/>
                <w:webHidden/>
              </w:rPr>
              <w:instrText xml:space="preserve"> PAGEREF _Toc85098590 \h </w:instrText>
            </w:r>
            <w:r w:rsidR="000B616B">
              <w:rPr>
                <w:noProof/>
                <w:webHidden/>
              </w:rPr>
            </w:r>
            <w:r w:rsidR="000B616B">
              <w:rPr>
                <w:noProof/>
                <w:webHidden/>
              </w:rPr>
              <w:fldChar w:fldCharType="separate"/>
            </w:r>
            <w:r w:rsidR="00D12D06">
              <w:rPr>
                <w:noProof/>
                <w:webHidden/>
              </w:rPr>
              <w:t>1</w:t>
            </w:r>
            <w:r w:rsidR="000B616B">
              <w:rPr>
                <w:noProof/>
                <w:webHidden/>
              </w:rPr>
              <w:fldChar w:fldCharType="end"/>
            </w:r>
          </w:hyperlink>
        </w:p>
        <w:p w:rsidR="000B616B" w:rsidRDefault="00080334">
          <w:pPr>
            <w:pStyle w:val="TOC2"/>
            <w:tabs>
              <w:tab w:val="left" w:pos="880"/>
              <w:tab w:val="right" w:leader="dot" w:pos="9062"/>
            </w:tabs>
            <w:rPr>
              <w:rFonts w:cstheme="minorBidi"/>
              <w:noProof/>
            </w:rPr>
          </w:pPr>
          <w:hyperlink w:anchor="_Toc85098591" w:history="1">
            <w:r w:rsidR="000B616B" w:rsidRPr="00D0496D">
              <w:rPr>
                <w:rStyle w:val="Hyperlink"/>
                <w:rFonts w:cstheme="majorHAnsi"/>
                <w:noProof/>
              </w:rPr>
              <w:t>1.1</w:t>
            </w:r>
            <w:r w:rsidR="000B616B">
              <w:rPr>
                <w:rFonts w:cstheme="minorBidi"/>
                <w:noProof/>
              </w:rPr>
              <w:tab/>
            </w:r>
            <w:r w:rsidR="000B616B" w:rsidRPr="00D0496D">
              <w:rPr>
                <w:rStyle w:val="Hyperlink"/>
                <w:rFonts w:cstheme="majorHAnsi"/>
                <w:noProof/>
              </w:rPr>
              <w:t>Piyasa Pozisyon Limitleri</w:t>
            </w:r>
            <w:r w:rsidR="000B616B">
              <w:rPr>
                <w:noProof/>
                <w:webHidden/>
              </w:rPr>
              <w:tab/>
            </w:r>
            <w:r w:rsidR="000B616B">
              <w:rPr>
                <w:noProof/>
                <w:webHidden/>
              </w:rPr>
              <w:fldChar w:fldCharType="begin"/>
            </w:r>
            <w:r w:rsidR="000B616B">
              <w:rPr>
                <w:noProof/>
                <w:webHidden/>
              </w:rPr>
              <w:instrText xml:space="preserve"> PAGEREF _Toc85098591 \h </w:instrText>
            </w:r>
            <w:r w:rsidR="000B616B">
              <w:rPr>
                <w:noProof/>
                <w:webHidden/>
              </w:rPr>
            </w:r>
            <w:r w:rsidR="000B616B">
              <w:rPr>
                <w:noProof/>
                <w:webHidden/>
              </w:rPr>
              <w:fldChar w:fldCharType="separate"/>
            </w:r>
            <w:r w:rsidR="00D12D06">
              <w:rPr>
                <w:noProof/>
                <w:webHidden/>
              </w:rPr>
              <w:t>1</w:t>
            </w:r>
            <w:r w:rsidR="000B616B">
              <w:rPr>
                <w:noProof/>
                <w:webHidden/>
              </w:rPr>
              <w:fldChar w:fldCharType="end"/>
            </w:r>
          </w:hyperlink>
        </w:p>
        <w:p w:rsidR="000B616B" w:rsidRDefault="00080334">
          <w:pPr>
            <w:pStyle w:val="TOC3"/>
            <w:tabs>
              <w:tab w:val="left" w:pos="1320"/>
              <w:tab w:val="right" w:leader="dot" w:pos="9062"/>
            </w:tabs>
            <w:rPr>
              <w:rFonts w:cstheme="minorBidi"/>
              <w:noProof/>
            </w:rPr>
          </w:pPr>
          <w:hyperlink w:anchor="_Toc85098592" w:history="1">
            <w:r w:rsidR="000B616B" w:rsidRPr="00D0496D">
              <w:rPr>
                <w:rStyle w:val="Hyperlink"/>
                <w:rFonts w:cstheme="majorHAnsi"/>
                <w:noProof/>
              </w:rPr>
              <w:t>1.1.1</w:t>
            </w:r>
            <w:r w:rsidR="000B616B">
              <w:rPr>
                <w:rFonts w:cstheme="minorBidi"/>
                <w:noProof/>
              </w:rPr>
              <w:tab/>
            </w:r>
            <w:r w:rsidR="000B616B" w:rsidRPr="00D0496D">
              <w:rPr>
                <w:rStyle w:val="Hyperlink"/>
                <w:rFonts w:cstheme="majorHAnsi"/>
                <w:noProof/>
              </w:rPr>
              <w:t>Piyasa Pozisyon Limitlerinin Teslimat Dönemleri Arasında Paylaştırılması</w:t>
            </w:r>
            <w:r w:rsidR="000B616B">
              <w:rPr>
                <w:noProof/>
                <w:webHidden/>
              </w:rPr>
              <w:tab/>
            </w:r>
            <w:r w:rsidR="000B616B">
              <w:rPr>
                <w:noProof/>
                <w:webHidden/>
              </w:rPr>
              <w:fldChar w:fldCharType="begin"/>
            </w:r>
            <w:r w:rsidR="000B616B">
              <w:rPr>
                <w:noProof/>
                <w:webHidden/>
              </w:rPr>
              <w:instrText xml:space="preserve"> PAGEREF _Toc85098592 \h </w:instrText>
            </w:r>
            <w:r w:rsidR="000B616B">
              <w:rPr>
                <w:noProof/>
                <w:webHidden/>
              </w:rPr>
            </w:r>
            <w:r w:rsidR="000B616B">
              <w:rPr>
                <w:noProof/>
                <w:webHidden/>
              </w:rPr>
              <w:fldChar w:fldCharType="separate"/>
            </w:r>
            <w:r w:rsidR="00D12D06">
              <w:rPr>
                <w:noProof/>
                <w:webHidden/>
              </w:rPr>
              <w:t>2</w:t>
            </w:r>
            <w:r w:rsidR="000B616B">
              <w:rPr>
                <w:noProof/>
                <w:webHidden/>
              </w:rPr>
              <w:fldChar w:fldCharType="end"/>
            </w:r>
          </w:hyperlink>
        </w:p>
        <w:p w:rsidR="000B616B" w:rsidRDefault="00080334">
          <w:pPr>
            <w:pStyle w:val="TOC3"/>
            <w:tabs>
              <w:tab w:val="left" w:pos="1320"/>
              <w:tab w:val="right" w:leader="dot" w:pos="9062"/>
            </w:tabs>
            <w:rPr>
              <w:rFonts w:cstheme="minorBidi"/>
              <w:noProof/>
            </w:rPr>
          </w:pPr>
          <w:hyperlink w:anchor="_Toc85098593" w:history="1">
            <w:r w:rsidR="000B616B" w:rsidRPr="00D0496D">
              <w:rPr>
                <w:rStyle w:val="Hyperlink"/>
                <w:rFonts w:cstheme="majorHAnsi"/>
                <w:noProof/>
              </w:rPr>
              <w:t>1.1.1</w:t>
            </w:r>
            <w:r w:rsidR="000B616B">
              <w:rPr>
                <w:rFonts w:cstheme="minorBidi"/>
                <w:noProof/>
              </w:rPr>
              <w:tab/>
            </w:r>
            <w:r w:rsidR="000B616B" w:rsidRPr="00D0496D">
              <w:rPr>
                <w:rStyle w:val="Hyperlink"/>
                <w:rFonts w:cstheme="majorHAnsi"/>
                <w:noProof/>
              </w:rPr>
              <w:t>Yıllık Kontratlar İçin Piyasa Pozisyon Limitlerini Hesaplanması</w:t>
            </w:r>
            <w:r w:rsidR="000B616B">
              <w:rPr>
                <w:noProof/>
                <w:webHidden/>
              </w:rPr>
              <w:tab/>
            </w:r>
            <w:r w:rsidR="000B616B">
              <w:rPr>
                <w:noProof/>
                <w:webHidden/>
              </w:rPr>
              <w:fldChar w:fldCharType="begin"/>
            </w:r>
            <w:r w:rsidR="000B616B">
              <w:rPr>
                <w:noProof/>
                <w:webHidden/>
              </w:rPr>
              <w:instrText xml:space="preserve"> PAGEREF _Toc85098593 \h </w:instrText>
            </w:r>
            <w:r w:rsidR="000B616B">
              <w:rPr>
                <w:noProof/>
                <w:webHidden/>
              </w:rPr>
            </w:r>
            <w:r w:rsidR="000B616B">
              <w:rPr>
                <w:noProof/>
                <w:webHidden/>
              </w:rPr>
              <w:fldChar w:fldCharType="separate"/>
            </w:r>
            <w:r w:rsidR="00D12D06">
              <w:rPr>
                <w:noProof/>
                <w:webHidden/>
              </w:rPr>
              <w:t>2</w:t>
            </w:r>
            <w:r w:rsidR="000B616B">
              <w:rPr>
                <w:noProof/>
                <w:webHidden/>
              </w:rPr>
              <w:fldChar w:fldCharType="end"/>
            </w:r>
          </w:hyperlink>
        </w:p>
        <w:p w:rsidR="000B616B" w:rsidRDefault="00080334">
          <w:pPr>
            <w:pStyle w:val="TOC3"/>
            <w:tabs>
              <w:tab w:val="left" w:pos="1320"/>
              <w:tab w:val="right" w:leader="dot" w:pos="9062"/>
            </w:tabs>
            <w:rPr>
              <w:rFonts w:cstheme="minorBidi"/>
              <w:noProof/>
            </w:rPr>
          </w:pPr>
          <w:hyperlink w:anchor="_Toc85098594" w:history="1">
            <w:r w:rsidR="000B616B" w:rsidRPr="00D0496D">
              <w:rPr>
                <w:rStyle w:val="Hyperlink"/>
                <w:rFonts w:cstheme="majorHAnsi"/>
                <w:noProof/>
              </w:rPr>
              <w:t>1.1.2</w:t>
            </w:r>
            <w:r w:rsidR="000B616B">
              <w:rPr>
                <w:rFonts w:cstheme="minorBidi"/>
                <w:noProof/>
              </w:rPr>
              <w:tab/>
            </w:r>
            <w:r w:rsidR="000B616B" w:rsidRPr="00D0496D">
              <w:rPr>
                <w:rStyle w:val="Hyperlink"/>
                <w:rFonts w:cstheme="majorHAnsi"/>
                <w:noProof/>
              </w:rPr>
              <w:t>Çeyreklik ve Aylık Tüketim Oranlarının Belirlenmesi</w:t>
            </w:r>
            <w:r w:rsidR="000B616B">
              <w:rPr>
                <w:noProof/>
                <w:webHidden/>
              </w:rPr>
              <w:tab/>
            </w:r>
            <w:r w:rsidR="000B616B">
              <w:rPr>
                <w:noProof/>
                <w:webHidden/>
              </w:rPr>
              <w:fldChar w:fldCharType="begin"/>
            </w:r>
            <w:r w:rsidR="000B616B">
              <w:rPr>
                <w:noProof/>
                <w:webHidden/>
              </w:rPr>
              <w:instrText xml:space="preserve"> PAGEREF _Toc85098594 \h </w:instrText>
            </w:r>
            <w:r w:rsidR="000B616B">
              <w:rPr>
                <w:noProof/>
                <w:webHidden/>
              </w:rPr>
            </w:r>
            <w:r w:rsidR="000B616B">
              <w:rPr>
                <w:noProof/>
                <w:webHidden/>
              </w:rPr>
              <w:fldChar w:fldCharType="separate"/>
            </w:r>
            <w:r w:rsidR="00D12D06">
              <w:rPr>
                <w:noProof/>
                <w:webHidden/>
              </w:rPr>
              <w:t>3</w:t>
            </w:r>
            <w:r w:rsidR="000B616B">
              <w:rPr>
                <w:noProof/>
                <w:webHidden/>
              </w:rPr>
              <w:fldChar w:fldCharType="end"/>
            </w:r>
          </w:hyperlink>
        </w:p>
        <w:p w:rsidR="000B616B" w:rsidRDefault="00080334">
          <w:pPr>
            <w:pStyle w:val="TOC3"/>
            <w:tabs>
              <w:tab w:val="left" w:pos="1320"/>
              <w:tab w:val="right" w:leader="dot" w:pos="9062"/>
            </w:tabs>
            <w:rPr>
              <w:rFonts w:cstheme="minorBidi"/>
              <w:noProof/>
            </w:rPr>
          </w:pPr>
          <w:hyperlink w:anchor="_Toc85098595" w:history="1">
            <w:r w:rsidR="000B616B" w:rsidRPr="00D0496D">
              <w:rPr>
                <w:rStyle w:val="Hyperlink"/>
                <w:rFonts w:cstheme="majorHAnsi"/>
                <w:noProof/>
              </w:rPr>
              <w:t>1.1.3</w:t>
            </w:r>
            <w:r w:rsidR="000B616B">
              <w:rPr>
                <w:rFonts w:cstheme="minorBidi"/>
                <w:noProof/>
              </w:rPr>
              <w:tab/>
            </w:r>
            <w:r w:rsidR="000B616B" w:rsidRPr="00D0496D">
              <w:rPr>
                <w:rStyle w:val="Hyperlink"/>
                <w:rFonts w:cstheme="majorHAnsi"/>
                <w:noProof/>
              </w:rPr>
              <w:t>Çeyreklik Kontratlar İçin Piyasa Pozisyon Limitlerini Hesaplanması</w:t>
            </w:r>
            <w:r w:rsidR="000B616B">
              <w:rPr>
                <w:noProof/>
                <w:webHidden/>
              </w:rPr>
              <w:tab/>
            </w:r>
            <w:r w:rsidR="000B616B">
              <w:rPr>
                <w:noProof/>
                <w:webHidden/>
              </w:rPr>
              <w:fldChar w:fldCharType="begin"/>
            </w:r>
            <w:r w:rsidR="000B616B">
              <w:rPr>
                <w:noProof/>
                <w:webHidden/>
              </w:rPr>
              <w:instrText xml:space="preserve"> PAGEREF _Toc85098595 \h </w:instrText>
            </w:r>
            <w:r w:rsidR="000B616B">
              <w:rPr>
                <w:noProof/>
                <w:webHidden/>
              </w:rPr>
            </w:r>
            <w:r w:rsidR="000B616B">
              <w:rPr>
                <w:noProof/>
                <w:webHidden/>
              </w:rPr>
              <w:fldChar w:fldCharType="separate"/>
            </w:r>
            <w:r w:rsidR="00D12D06">
              <w:rPr>
                <w:noProof/>
                <w:webHidden/>
              </w:rPr>
              <w:t>3</w:t>
            </w:r>
            <w:r w:rsidR="000B616B">
              <w:rPr>
                <w:noProof/>
                <w:webHidden/>
              </w:rPr>
              <w:fldChar w:fldCharType="end"/>
            </w:r>
          </w:hyperlink>
        </w:p>
        <w:p w:rsidR="000B616B" w:rsidRDefault="00080334">
          <w:pPr>
            <w:pStyle w:val="TOC3"/>
            <w:tabs>
              <w:tab w:val="left" w:pos="1320"/>
              <w:tab w:val="right" w:leader="dot" w:pos="9062"/>
            </w:tabs>
            <w:rPr>
              <w:rFonts w:cstheme="minorBidi"/>
              <w:noProof/>
            </w:rPr>
          </w:pPr>
          <w:hyperlink w:anchor="_Toc85098596" w:history="1">
            <w:r w:rsidR="000B616B" w:rsidRPr="00D0496D">
              <w:rPr>
                <w:rStyle w:val="Hyperlink"/>
                <w:rFonts w:cstheme="majorHAnsi"/>
                <w:noProof/>
              </w:rPr>
              <w:t>1.1.4</w:t>
            </w:r>
            <w:r w:rsidR="000B616B">
              <w:rPr>
                <w:rFonts w:cstheme="minorBidi"/>
                <w:noProof/>
              </w:rPr>
              <w:tab/>
            </w:r>
            <w:r w:rsidR="000B616B" w:rsidRPr="00D0496D">
              <w:rPr>
                <w:rStyle w:val="Hyperlink"/>
                <w:rFonts w:cstheme="majorHAnsi"/>
                <w:noProof/>
              </w:rPr>
              <w:t>Aylık Kontratlar İçin Piyasa Pozisyon Limitlerini Hesaplanması</w:t>
            </w:r>
            <w:r w:rsidR="000B616B">
              <w:rPr>
                <w:noProof/>
                <w:webHidden/>
              </w:rPr>
              <w:tab/>
            </w:r>
            <w:r w:rsidR="000B616B">
              <w:rPr>
                <w:noProof/>
                <w:webHidden/>
              </w:rPr>
              <w:fldChar w:fldCharType="begin"/>
            </w:r>
            <w:r w:rsidR="000B616B">
              <w:rPr>
                <w:noProof/>
                <w:webHidden/>
              </w:rPr>
              <w:instrText xml:space="preserve"> PAGEREF _Toc85098596 \h </w:instrText>
            </w:r>
            <w:r w:rsidR="000B616B">
              <w:rPr>
                <w:noProof/>
                <w:webHidden/>
              </w:rPr>
            </w:r>
            <w:r w:rsidR="000B616B">
              <w:rPr>
                <w:noProof/>
                <w:webHidden/>
              </w:rPr>
              <w:fldChar w:fldCharType="separate"/>
            </w:r>
            <w:r w:rsidR="00D12D06">
              <w:rPr>
                <w:noProof/>
                <w:webHidden/>
              </w:rPr>
              <w:t>3</w:t>
            </w:r>
            <w:r w:rsidR="000B616B">
              <w:rPr>
                <w:noProof/>
                <w:webHidden/>
              </w:rPr>
              <w:fldChar w:fldCharType="end"/>
            </w:r>
          </w:hyperlink>
        </w:p>
        <w:p w:rsidR="000B616B" w:rsidRDefault="00080334">
          <w:pPr>
            <w:pStyle w:val="TOC3"/>
            <w:tabs>
              <w:tab w:val="left" w:pos="1320"/>
              <w:tab w:val="right" w:leader="dot" w:pos="9062"/>
            </w:tabs>
            <w:rPr>
              <w:rFonts w:cstheme="minorBidi"/>
              <w:noProof/>
            </w:rPr>
          </w:pPr>
          <w:hyperlink w:anchor="_Toc85098597" w:history="1">
            <w:r w:rsidR="000B616B" w:rsidRPr="00D0496D">
              <w:rPr>
                <w:rStyle w:val="Hyperlink"/>
                <w:rFonts w:cstheme="majorHAnsi"/>
                <w:noProof/>
              </w:rPr>
              <w:t>1.1.5</w:t>
            </w:r>
            <w:r w:rsidR="000B616B">
              <w:rPr>
                <w:rFonts w:cstheme="minorBidi"/>
                <w:noProof/>
              </w:rPr>
              <w:tab/>
            </w:r>
            <w:r w:rsidR="000B616B" w:rsidRPr="00D0496D">
              <w:rPr>
                <w:rStyle w:val="Hyperlink"/>
                <w:rFonts w:cstheme="majorHAnsi"/>
                <w:noProof/>
              </w:rPr>
              <w:t>Basamaklandırma İşlemi ve Piyasa Pozisyon Limitleri</w:t>
            </w:r>
            <w:r w:rsidR="000B616B">
              <w:rPr>
                <w:noProof/>
                <w:webHidden/>
              </w:rPr>
              <w:tab/>
            </w:r>
            <w:r w:rsidR="000B616B">
              <w:rPr>
                <w:noProof/>
                <w:webHidden/>
              </w:rPr>
              <w:fldChar w:fldCharType="begin"/>
            </w:r>
            <w:r w:rsidR="000B616B">
              <w:rPr>
                <w:noProof/>
                <w:webHidden/>
              </w:rPr>
              <w:instrText xml:space="preserve"> PAGEREF _Toc85098597 \h </w:instrText>
            </w:r>
            <w:r w:rsidR="000B616B">
              <w:rPr>
                <w:noProof/>
                <w:webHidden/>
              </w:rPr>
            </w:r>
            <w:r w:rsidR="000B616B">
              <w:rPr>
                <w:noProof/>
                <w:webHidden/>
              </w:rPr>
              <w:fldChar w:fldCharType="separate"/>
            </w:r>
            <w:r w:rsidR="00D12D06">
              <w:rPr>
                <w:noProof/>
                <w:webHidden/>
              </w:rPr>
              <w:t>4</w:t>
            </w:r>
            <w:r w:rsidR="000B616B">
              <w:rPr>
                <w:noProof/>
                <w:webHidden/>
              </w:rPr>
              <w:fldChar w:fldCharType="end"/>
            </w:r>
          </w:hyperlink>
        </w:p>
        <w:p w:rsidR="000B616B" w:rsidRDefault="00080334">
          <w:pPr>
            <w:pStyle w:val="TOC3"/>
            <w:tabs>
              <w:tab w:val="left" w:pos="1320"/>
              <w:tab w:val="right" w:leader="dot" w:pos="9062"/>
            </w:tabs>
            <w:rPr>
              <w:rFonts w:cstheme="minorBidi"/>
              <w:noProof/>
            </w:rPr>
          </w:pPr>
          <w:hyperlink w:anchor="_Toc85098598" w:history="1">
            <w:r w:rsidR="000B616B" w:rsidRPr="00D0496D">
              <w:rPr>
                <w:rStyle w:val="Hyperlink"/>
                <w:rFonts w:cstheme="majorHAnsi"/>
                <w:noProof/>
              </w:rPr>
              <w:t>1.1.6</w:t>
            </w:r>
            <w:r w:rsidR="000B616B">
              <w:rPr>
                <w:rFonts w:cstheme="minorBidi"/>
                <w:noProof/>
              </w:rPr>
              <w:tab/>
            </w:r>
            <w:r w:rsidR="000B616B" w:rsidRPr="00D0496D">
              <w:rPr>
                <w:rStyle w:val="Hyperlink"/>
                <w:rFonts w:cstheme="majorHAnsi"/>
                <w:noProof/>
              </w:rPr>
              <w:t>Ayın Geri Kalanı (BOM) Kontratları İçin Piyasa Pozisyon Limitlerinin Belirlenmesi</w:t>
            </w:r>
            <w:r w:rsidR="000B616B">
              <w:rPr>
                <w:noProof/>
                <w:webHidden/>
              </w:rPr>
              <w:tab/>
            </w:r>
            <w:r w:rsidR="000B616B">
              <w:rPr>
                <w:noProof/>
                <w:webHidden/>
              </w:rPr>
              <w:fldChar w:fldCharType="begin"/>
            </w:r>
            <w:r w:rsidR="000B616B">
              <w:rPr>
                <w:noProof/>
                <w:webHidden/>
              </w:rPr>
              <w:instrText xml:space="preserve"> PAGEREF _Toc85098598 \h </w:instrText>
            </w:r>
            <w:r w:rsidR="000B616B">
              <w:rPr>
                <w:noProof/>
                <w:webHidden/>
              </w:rPr>
            </w:r>
            <w:r w:rsidR="000B616B">
              <w:rPr>
                <w:noProof/>
                <w:webHidden/>
              </w:rPr>
              <w:fldChar w:fldCharType="separate"/>
            </w:r>
            <w:r w:rsidR="00D12D06">
              <w:rPr>
                <w:noProof/>
                <w:webHidden/>
              </w:rPr>
              <w:t>5</w:t>
            </w:r>
            <w:r w:rsidR="000B616B">
              <w:rPr>
                <w:noProof/>
                <w:webHidden/>
              </w:rPr>
              <w:fldChar w:fldCharType="end"/>
            </w:r>
          </w:hyperlink>
        </w:p>
        <w:p w:rsidR="000B616B" w:rsidRDefault="00080334">
          <w:pPr>
            <w:pStyle w:val="TOC2"/>
            <w:tabs>
              <w:tab w:val="left" w:pos="880"/>
              <w:tab w:val="right" w:leader="dot" w:pos="9062"/>
            </w:tabs>
            <w:rPr>
              <w:rFonts w:cstheme="minorBidi"/>
              <w:noProof/>
            </w:rPr>
          </w:pPr>
          <w:hyperlink w:anchor="_Toc85098599" w:history="1">
            <w:r w:rsidR="000B616B" w:rsidRPr="00D0496D">
              <w:rPr>
                <w:rStyle w:val="Hyperlink"/>
                <w:rFonts w:cstheme="majorHAnsi"/>
                <w:noProof/>
              </w:rPr>
              <w:t>1.2</w:t>
            </w:r>
            <w:r w:rsidR="000B616B">
              <w:rPr>
                <w:rFonts w:cstheme="minorBidi"/>
                <w:noProof/>
              </w:rPr>
              <w:tab/>
            </w:r>
            <w:r w:rsidR="000B616B" w:rsidRPr="00D0496D">
              <w:rPr>
                <w:rStyle w:val="Hyperlink"/>
                <w:rFonts w:cstheme="majorHAnsi"/>
                <w:noProof/>
              </w:rPr>
              <w:t>Katılımcı Pozisyon Limitlerinin Belirlenmesi</w:t>
            </w:r>
            <w:r w:rsidR="000B616B">
              <w:rPr>
                <w:noProof/>
                <w:webHidden/>
              </w:rPr>
              <w:tab/>
            </w:r>
            <w:r w:rsidR="000B616B">
              <w:rPr>
                <w:noProof/>
                <w:webHidden/>
              </w:rPr>
              <w:fldChar w:fldCharType="begin"/>
            </w:r>
            <w:r w:rsidR="000B616B">
              <w:rPr>
                <w:noProof/>
                <w:webHidden/>
              </w:rPr>
              <w:instrText xml:space="preserve"> PAGEREF _Toc85098599 \h </w:instrText>
            </w:r>
            <w:r w:rsidR="000B616B">
              <w:rPr>
                <w:noProof/>
                <w:webHidden/>
              </w:rPr>
            </w:r>
            <w:r w:rsidR="000B616B">
              <w:rPr>
                <w:noProof/>
                <w:webHidden/>
              </w:rPr>
              <w:fldChar w:fldCharType="separate"/>
            </w:r>
            <w:r w:rsidR="00D12D06">
              <w:rPr>
                <w:noProof/>
                <w:webHidden/>
              </w:rPr>
              <w:t>6</w:t>
            </w:r>
            <w:r w:rsidR="000B616B">
              <w:rPr>
                <w:noProof/>
                <w:webHidden/>
              </w:rPr>
              <w:fldChar w:fldCharType="end"/>
            </w:r>
          </w:hyperlink>
        </w:p>
        <w:p w:rsidR="00F04A6C" w:rsidRPr="00F04A6C" w:rsidRDefault="00A6554C" w:rsidP="00F04A6C">
          <w:pPr>
            <w:rPr>
              <w:b/>
              <w:bCs/>
            </w:rPr>
          </w:pPr>
          <w:r>
            <w:rPr>
              <w:b/>
              <w:bCs/>
            </w:rPr>
            <w:fldChar w:fldCharType="end"/>
          </w:r>
        </w:p>
      </w:sdtContent>
    </w:sdt>
    <w:p w:rsidR="00F04A6C" w:rsidRPr="00F04A6C" w:rsidRDefault="00F04A6C">
      <w:pPr>
        <w:pStyle w:val="TableofFigures"/>
        <w:tabs>
          <w:tab w:val="right" w:leader="underscore" w:pos="9062"/>
        </w:tabs>
        <w:rPr>
          <w:rFonts w:asciiTheme="majorHAnsi" w:eastAsiaTheme="majorEastAsia" w:hAnsiTheme="majorHAnsi" w:cstheme="majorBidi"/>
          <w:i w:val="0"/>
          <w:iCs w:val="0"/>
          <w:color w:val="2E74B5" w:themeColor="accent1" w:themeShade="BF"/>
          <w:sz w:val="32"/>
          <w:szCs w:val="32"/>
          <w:lang w:eastAsia="tr-TR"/>
        </w:rPr>
      </w:pPr>
      <w:r w:rsidRPr="00F04A6C">
        <w:rPr>
          <w:rFonts w:asciiTheme="majorHAnsi" w:eastAsiaTheme="majorEastAsia" w:hAnsiTheme="majorHAnsi" w:cstheme="majorBidi"/>
          <w:i w:val="0"/>
          <w:iCs w:val="0"/>
          <w:color w:val="2E74B5" w:themeColor="accent1" w:themeShade="BF"/>
          <w:sz w:val="32"/>
          <w:szCs w:val="32"/>
          <w:lang w:eastAsia="tr-TR"/>
        </w:rPr>
        <w:t>Tablolar</w:t>
      </w:r>
    </w:p>
    <w:p w:rsidR="000B616B" w:rsidRDefault="00A6554C">
      <w:pPr>
        <w:pStyle w:val="TableofFigures"/>
        <w:tabs>
          <w:tab w:val="right" w:leader="underscore" w:pos="9062"/>
        </w:tabs>
        <w:rPr>
          <w:rFonts w:eastAsiaTheme="minorEastAsia" w:cstheme="minorBidi"/>
          <w:i w:val="0"/>
          <w:iCs w:val="0"/>
          <w:noProof/>
          <w:sz w:val="22"/>
          <w:szCs w:val="22"/>
          <w:lang w:eastAsia="tr-TR"/>
        </w:rPr>
      </w:pPr>
      <w:r>
        <w:rPr>
          <w:rFonts w:cstheme="majorHAnsi"/>
        </w:rPr>
        <w:fldChar w:fldCharType="begin"/>
      </w:r>
      <w:r>
        <w:rPr>
          <w:rFonts w:cstheme="majorHAnsi"/>
        </w:rPr>
        <w:instrText xml:space="preserve"> TOC \h \z \c "Tablo" </w:instrText>
      </w:r>
      <w:r>
        <w:rPr>
          <w:rFonts w:cstheme="majorHAnsi"/>
        </w:rPr>
        <w:fldChar w:fldCharType="separate"/>
      </w:r>
      <w:hyperlink w:anchor="_Toc85098556" w:history="1">
        <w:r w:rsidR="000B616B" w:rsidRPr="0093722E">
          <w:rPr>
            <w:rStyle w:val="Hyperlink"/>
            <w:noProof/>
          </w:rPr>
          <w:t>Tablo 1 Türkiye Elektrik Enerjisi Talep Projeksiyonu Raporu 2021 Yılı Elektrik Tüketim Tahmini (TWh)</w:t>
        </w:r>
        <w:r w:rsidR="000B616B">
          <w:rPr>
            <w:noProof/>
            <w:webHidden/>
          </w:rPr>
          <w:tab/>
        </w:r>
        <w:r w:rsidR="000B616B">
          <w:rPr>
            <w:noProof/>
            <w:webHidden/>
          </w:rPr>
          <w:fldChar w:fldCharType="begin"/>
        </w:r>
        <w:r w:rsidR="000B616B">
          <w:rPr>
            <w:noProof/>
            <w:webHidden/>
          </w:rPr>
          <w:instrText xml:space="preserve"> PAGEREF _Toc85098556 \h </w:instrText>
        </w:r>
        <w:r w:rsidR="000B616B">
          <w:rPr>
            <w:noProof/>
            <w:webHidden/>
          </w:rPr>
        </w:r>
        <w:r w:rsidR="000B616B">
          <w:rPr>
            <w:noProof/>
            <w:webHidden/>
          </w:rPr>
          <w:fldChar w:fldCharType="separate"/>
        </w:r>
        <w:r w:rsidR="00D12D06">
          <w:rPr>
            <w:noProof/>
            <w:webHidden/>
          </w:rPr>
          <w:t>2</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57" w:history="1">
        <w:r w:rsidR="000B616B" w:rsidRPr="0093722E">
          <w:rPr>
            <w:rStyle w:val="Hyperlink"/>
            <w:noProof/>
          </w:rPr>
          <w:t>Tablo 2 Piyasa Pozisyon Limitinin Teslimat dönemi bazındaki oranları</w:t>
        </w:r>
        <w:r w:rsidR="000B616B">
          <w:rPr>
            <w:noProof/>
            <w:webHidden/>
          </w:rPr>
          <w:tab/>
        </w:r>
        <w:r w:rsidR="000B616B">
          <w:rPr>
            <w:noProof/>
            <w:webHidden/>
          </w:rPr>
          <w:fldChar w:fldCharType="begin"/>
        </w:r>
        <w:r w:rsidR="000B616B">
          <w:rPr>
            <w:noProof/>
            <w:webHidden/>
          </w:rPr>
          <w:instrText xml:space="preserve"> PAGEREF _Toc85098557 \h </w:instrText>
        </w:r>
        <w:r w:rsidR="000B616B">
          <w:rPr>
            <w:noProof/>
            <w:webHidden/>
          </w:rPr>
        </w:r>
        <w:r w:rsidR="000B616B">
          <w:rPr>
            <w:noProof/>
            <w:webHidden/>
          </w:rPr>
          <w:fldChar w:fldCharType="separate"/>
        </w:r>
        <w:r w:rsidR="00D12D06">
          <w:rPr>
            <w:noProof/>
            <w:webHidden/>
          </w:rPr>
          <w:t>2</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58" w:history="1">
        <w:r w:rsidR="000B616B" w:rsidRPr="0093722E">
          <w:rPr>
            <w:rStyle w:val="Hyperlink"/>
            <w:noProof/>
          </w:rPr>
          <w:t>Tablo 3 Toplam Piyasa Limitlerinin Vade Tiplerine Paylaştırılması</w:t>
        </w:r>
        <w:r w:rsidR="000B616B">
          <w:rPr>
            <w:noProof/>
            <w:webHidden/>
          </w:rPr>
          <w:tab/>
        </w:r>
        <w:r w:rsidR="000B616B">
          <w:rPr>
            <w:noProof/>
            <w:webHidden/>
          </w:rPr>
          <w:fldChar w:fldCharType="begin"/>
        </w:r>
        <w:r w:rsidR="000B616B">
          <w:rPr>
            <w:noProof/>
            <w:webHidden/>
          </w:rPr>
          <w:instrText xml:space="preserve"> PAGEREF _Toc85098558 \h </w:instrText>
        </w:r>
        <w:r w:rsidR="000B616B">
          <w:rPr>
            <w:noProof/>
            <w:webHidden/>
          </w:rPr>
        </w:r>
        <w:r w:rsidR="000B616B">
          <w:rPr>
            <w:noProof/>
            <w:webHidden/>
          </w:rPr>
          <w:fldChar w:fldCharType="separate"/>
        </w:r>
        <w:r w:rsidR="00D12D06">
          <w:rPr>
            <w:noProof/>
            <w:webHidden/>
          </w:rPr>
          <w:t>2</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59" w:history="1">
        <w:r w:rsidR="000B616B" w:rsidRPr="0093722E">
          <w:rPr>
            <w:rStyle w:val="Hyperlink"/>
            <w:noProof/>
          </w:rPr>
          <w:t>Tablo 4 Yıllık Kontratlar İçin Piyasa Pozisyon Limitleri</w:t>
        </w:r>
        <w:r w:rsidR="000B616B">
          <w:rPr>
            <w:noProof/>
            <w:webHidden/>
          </w:rPr>
          <w:tab/>
        </w:r>
        <w:r w:rsidR="000B616B">
          <w:rPr>
            <w:noProof/>
            <w:webHidden/>
          </w:rPr>
          <w:fldChar w:fldCharType="begin"/>
        </w:r>
        <w:r w:rsidR="000B616B">
          <w:rPr>
            <w:noProof/>
            <w:webHidden/>
          </w:rPr>
          <w:instrText xml:space="preserve"> PAGEREF _Toc85098559 \h </w:instrText>
        </w:r>
        <w:r w:rsidR="000B616B">
          <w:rPr>
            <w:noProof/>
            <w:webHidden/>
          </w:rPr>
        </w:r>
        <w:r w:rsidR="000B616B">
          <w:rPr>
            <w:noProof/>
            <w:webHidden/>
          </w:rPr>
          <w:fldChar w:fldCharType="separate"/>
        </w:r>
        <w:r w:rsidR="00D12D06">
          <w:rPr>
            <w:noProof/>
            <w:webHidden/>
          </w:rPr>
          <w:t>2</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0" w:history="1">
        <w:r w:rsidR="000B616B" w:rsidRPr="0093722E">
          <w:rPr>
            <w:rStyle w:val="Hyperlink"/>
            <w:noProof/>
          </w:rPr>
          <w:t>Tablo 5 Çeyreklik ve Aylık Tüketim Karakteristik Oranları</w:t>
        </w:r>
        <w:r w:rsidR="000B616B">
          <w:rPr>
            <w:noProof/>
            <w:webHidden/>
          </w:rPr>
          <w:tab/>
        </w:r>
        <w:r w:rsidR="000B616B">
          <w:rPr>
            <w:noProof/>
            <w:webHidden/>
          </w:rPr>
          <w:fldChar w:fldCharType="begin"/>
        </w:r>
        <w:r w:rsidR="000B616B">
          <w:rPr>
            <w:noProof/>
            <w:webHidden/>
          </w:rPr>
          <w:instrText xml:space="preserve"> PAGEREF _Toc85098560 \h </w:instrText>
        </w:r>
        <w:r w:rsidR="000B616B">
          <w:rPr>
            <w:noProof/>
            <w:webHidden/>
          </w:rPr>
        </w:r>
        <w:r w:rsidR="000B616B">
          <w:rPr>
            <w:noProof/>
            <w:webHidden/>
          </w:rPr>
          <w:fldChar w:fldCharType="separate"/>
        </w:r>
        <w:r w:rsidR="00D12D06">
          <w:rPr>
            <w:noProof/>
            <w:webHidden/>
          </w:rPr>
          <w:t>3</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1" w:history="1">
        <w:r w:rsidR="000B616B" w:rsidRPr="0093722E">
          <w:rPr>
            <w:rStyle w:val="Hyperlink"/>
            <w:noProof/>
          </w:rPr>
          <w:t>Tablo 6 Çeyreklik Kontratlar İçin Piyasa Pozisyon Limitleri</w:t>
        </w:r>
        <w:r w:rsidR="000B616B">
          <w:rPr>
            <w:noProof/>
            <w:webHidden/>
          </w:rPr>
          <w:tab/>
        </w:r>
        <w:r w:rsidR="000B616B">
          <w:rPr>
            <w:noProof/>
            <w:webHidden/>
          </w:rPr>
          <w:fldChar w:fldCharType="begin"/>
        </w:r>
        <w:r w:rsidR="000B616B">
          <w:rPr>
            <w:noProof/>
            <w:webHidden/>
          </w:rPr>
          <w:instrText xml:space="preserve"> PAGEREF _Toc85098561 \h </w:instrText>
        </w:r>
        <w:r w:rsidR="000B616B">
          <w:rPr>
            <w:noProof/>
            <w:webHidden/>
          </w:rPr>
        </w:r>
        <w:r w:rsidR="000B616B">
          <w:rPr>
            <w:noProof/>
            <w:webHidden/>
          </w:rPr>
          <w:fldChar w:fldCharType="separate"/>
        </w:r>
        <w:r w:rsidR="00D12D06">
          <w:rPr>
            <w:noProof/>
            <w:webHidden/>
          </w:rPr>
          <w:t>3</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2" w:history="1">
        <w:r w:rsidR="000B616B" w:rsidRPr="0093722E">
          <w:rPr>
            <w:rStyle w:val="Hyperlink"/>
            <w:noProof/>
          </w:rPr>
          <w:t>Tablo 7 Aylık Kontratlar İçin Piyasa Pozisyon Limitleri</w:t>
        </w:r>
        <w:r w:rsidR="000B616B">
          <w:rPr>
            <w:noProof/>
            <w:webHidden/>
          </w:rPr>
          <w:tab/>
        </w:r>
        <w:r w:rsidR="000B616B">
          <w:rPr>
            <w:noProof/>
            <w:webHidden/>
          </w:rPr>
          <w:fldChar w:fldCharType="begin"/>
        </w:r>
        <w:r w:rsidR="000B616B">
          <w:rPr>
            <w:noProof/>
            <w:webHidden/>
          </w:rPr>
          <w:instrText xml:space="preserve"> PAGEREF _Toc85098562 \h </w:instrText>
        </w:r>
        <w:r w:rsidR="000B616B">
          <w:rPr>
            <w:noProof/>
            <w:webHidden/>
          </w:rPr>
        </w:r>
        <w:r w:rsidR="000B616B">
          <w:rPr>
            <w:noProof/>
            <w:webHidden/>
          </w:rPr>
          <w:fldChar w:fldCharType="separate"/>
        </w:r>
        <w:r w:rsidR="00D12D06">
          <w:rPr>
            <w:noProof/>
            <w:webHidden/>
          </w:rPr>
          <w:t>4</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3" w:history="1">
        <w:r w:rsidR="000B616B" w:rsidRPr="0093722E">
          <w:rPr>
            <w:rStyle w:val="Hyperlink"/>
            <w:noProof/>
          </w:rPr>
          <w:t>Tablo 8 Basamaklandırma Sonucu Çeyreklik Piyasa Pozisyon Limitleri</w:t>
        </w:r>
        <w:r w:rsidR="000B616B">
          <w:rPr>
            <w:noProof/>
            <w:webHidden/>
          </w:rPr>
          <w:tab/>
        </w:r>
        <w:r w:rsidR="000B616B">
          <w:rPr>
            <w:noProof/>
            <w:webHidden/>
          </w:rPr>
          <w:fldChar w:fldCharType="begin"/>
        </w:r>
        <w:r w:rsidR="000B616B">
          <w:rPr>
            <w:noProof/>
            <w:webHidden/>
          </w:rPr>
          <w:instrText xml:space="preserve"> PAGEREF _Toc85098563 \h </w:instrText>
        </w:r>
        <w:r w:rsidR="000B616B">
          <w:rPr>
            <w:noProof/>
            <w:webHidden/>
          </w:rPr>
        </w:r>
        <w:r w:rsidR="000B616B">
          <w:rPr>
            <w:noProof/>
            <w:webHidden/>
          </w:rPr>
          <w:fldChar w:fldCharType="separate"/>
        </w:r>
        <w:r w:rsidR="00D12D06">
          <w:rPr>
            <w:noProof/>
            <w:webHidden/>
          </w:rPr>
          <w:t>4</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4" w:history="1">
        <w:r w:rsidR="000B616B" w:rsidRPr="0093722E">
          <w:rPr>
            <w:rStyle w:val="Hyperlink"/>
            <w:noProof/>
          </w:rPr>
          <w:t>Tablo 9  Basamaklandırma Sonucu Aylık Piyasa Pozisyon Limitleri</w:t>
        </w:r>
        <w:r w:rsidR="000B616B">
          <w:rPr>
            <w:noProof/>
            <w:webHidden/>
          </w:rPr>
          <w:tab/>
        </w:r>
        <w:r w:rsidR="000B616B">
          <w:rPr>
            <w:noProof/>
            <w:webHidden/>
          </w:rPr>
          <w:fldChar w:fldCharType="begin"/>
        </w:r>
        <w:r w:rsidR="000B616B">
          <w:rPr>
            <w:noProof/>
            <w:webHidden/>
          </w:rPr>
          <w:instrText xml:space="preserve"> PAGEREF _Toc85098564 \h </w:instrText>
        </w:r>
        <w:r w:rsidR="000B616B">
          <w:rPr>
            <w:noProof/>
            <w:webHidden/>
          </w:rPr>
        </w:r>
        <w:r w:rsidR="000B616B">
          <w:rPr>
            <w:noProof/>
            <w:webHidden/>
          </w:rPr>
          <w:fldChar w:fldCharType="separate"/>
        </w:r>
        <w:r w:rsidR="00D12D06">
          <w:rPr>
            <w:noProof/>
            <w:webHidden/>
          </w:rPr>
          <w:t>5</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5" w:history="1">
        <w:r w:rsidR="000B616B" w:rsidRPr="0093722E">
          <w:rPr>
            <w:rStyle w:val="Hyperlink"/>
            <w:noProof/>
          </w:rPr>
          <w:t>Tablo 10 Ayın Geri Kalanı Kontratları Pozisyon Limitleri Örneği</w:t>
        </w:r>
        <w:r w:rsidR="000B616B">
          <w:rPr>
            <w:noProof/>
            <w:webHidden/>
          </w:rPr>
          <w:tab/>
        </w:r>
        <w:r w:rsidR="000B616B">
          <w:rPr>
            <w:noProof/>
            <w:webHidden/>
          </w:rPr>
          <w:fldChar w:fldCharType="begin"/>
        </w:r>
        <w:r w:rsidR="000B616B">
          <w:rPr>
            <w:noProof/>
            <w:webHidden/>
          </w:rPr>
          <w:instrText xml:space="preserve"> PAGEREF _Toc85098565 \h </w:instrText>
        </w:r>
        <w:r w:rsidR="000B616B">
          <w:rPr>
            <w:noProof/>
            <w:webHidden/>
          </w:rPr>
        </w:r>
        <w:r w:rsidR="000B616B">
          <w:rPr>
            <w:noProof/>
            <w:webHidden/>
          </w:rPr>
          <w:fldChar w:fldCharType="separate"/>
        </w:r>
        <w:r w:rsidR="00D12D06">
          <w:rPr>
            <w:noProof/>
            <w:webHidden/>
          </w:rPr>
          <w:t>6</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6" w:history="1">
        <w:r w:rsidR="000B616B" w:rsidRPr="0093722E">
          <w:rPr>
            <w:rStyle w:val="Hyperlink"/>
            <w:noProof/>
          </w:rPr>
          <w:t>Tablo 11  Örnek Katılımcı Toplam Piyasa Pozisyon Limitleri</w:t>
        </w:r>
        <w:r w:rsidR="000B616B">
          <w:rPr>
            <w:noProof/>
            <w:webHidden/>
          </w:rPr>
          <w:tab/>
        </w:r>
        <w:r w:rsidR="000B616B">
          <w:rPr>
            <w:noProof/>
            <w:webHidden/>
          </w:rPr>
          <w:fldChar w:fldCharType="begin"/>
        </w:r>
        <w:r w:rsidR="000B616B">
          <w:rPr>
            <w:noProof/>
            <w:webHidden/>
          </w:rPr>
          <w:instrText xml:space="preserve"> PAGEREF _Toc85098566 \h </w:instrText>
        </w:r>
        <w:r w:rsidR="000B616B">
          <w:rPr>
            <w:noProof/>
            <w:webHidden/>
          </w:rPr>
        </w:r>
        <w:r w:rsidR="000B616B">
          <w:rPr>
            <w:noProof/>
            <w:webHidden/>
          </w:rPr>
          <w:fldChar w:fldCharType="separate"/>
        </w:r>
        <w:r w:rsidR="00D12D06">
          <w:rPr>
            <w:noProof/>
            <w:webHidden/>
          </w:rPr>
          <w:t>7</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7" w:history="1">
        <w:r w:rsidR="000B616B" w:rsidRPr="0093722E">
          <w:rPr>
            <w:rStyle w:val="Hyperlink"/>
            <w:noProof/>
          </w:rPr>
          <w:t>Tablo 12  Örnek Katılımcı Çeyreklik Pozisyon Limitleri</w:t>
        </w:r>
        <w:r w:rsidR="000B616B">
          <w:rPr>
            <w:noProof/>
            <w:webHidden/>
          </w:rPr>
          <w:tab/>
        </w:r>
        <w:r w:rsidR="000B616B">
          <w:rPr>
            <w:noProof/>
            <w:webHidden/>
          </w:rPr>
          <w:fldChar w:fldCharType="begin"/>
        </w:r>
        <w:r w:rsidR="000B616B">
          <w:rPr>
            <w:noProof/>
            <w:webHidden/>
          </w:rPr>
          <w:instrText xml:space="preserve"> PAGEREF _Toc85098567 \h </w:instrText>
        </w:r>
        <w:r w:rsidR="000B616B">
          <w:rPr>
            <w:noProof/>
            <w:webHidden/>
          </w:rPr>
        </w:r>
        <w:r w:rsidR="000B616B">
          <w:rPr>
            <w:noProof/>
            <w:webHidden/>
          </w:rPr>
          <w:fldChar w:fldCharType="separate"/>
        </w:r>
        <w:r w:rsidR="00D12D06">
          <w:rPr>
            <w:noProof/>
            <w:webHidden/>
          </w:rPr>
          <w:t>7</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8" w:history="1">
        <w:r w:rsidR="000B616B" w:rsidRPr="0093722E">
          <w:rPr>
            <w:rStyle w:val="Hyperlink"/>
            <w:noProof/>
          </w:rPr>
          <w:t>Tablo 13 Örnek Katılımcı Aylık Pozisyon Limitleri</w:t>
        </w:r>
        <w:r w:rsidR="000B616B">
          <w:rPr>
            <w:noProof/>
            <w:webHidden/>
          </w:rPr>
          <w:tab/>
        </w:r>
        <w:r w:rsidR="000B616B">
          <w:rPr>
            <w:noProof/>
            <w:webHidden/>
          </w:rPr>
          <w:fldChar w:fldCharType="begin"/>
        </w:r>
        <w:r w:rsidR="000B616B">
          <w:rPr>
            <w:noProof/>
            <w:webHidden/>
          </w:rPr>
          <w:instrText xml:space="preserve"> PAGEREF _Toc85098568 \h </w:instrText>
        </w:r>
        <w:r w:rsidR="000B616B">
          <w:rPr>
            <w:noProof/>
            <w:webHidden/>
          </w:rPr>
        </w:r>
        <w:r w:rsidR="000B616B">
          <w:rPr>
            <w:noProof/>
            <w:webHidden/>
          </w:rPr>
          <w:fldChar w:fldCharType="separate"/>
        </w:r>
        <w:r w:rsidR="00D12D06">
          <w:rPr>
            <w:noProof/>
            <w:webHidden/>
          </w:rPr>
          <w:t>7</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69" w:history="1">
        <w:r w:rsidR="000B616B" w:rsidRPr="0093722E">
          <w:rPr>
            <w:rStyle w:val="Hyperlink"/>
            <w:noProof/>
          </w:rPr>
          <w:t>Tablo 14 Örnek Katılımcı Yıllık Pozisyon Limitleri</w:t>
        </w:r>
        <w:r w:rsidR="000B616B">
          <w:rPr>
            <w:noProof/>
            <w:webHidden/>
          </w:rPr>
          <w:tab/>
        </w:r>
        <w:r w:rsidR="000B616B">
          <w:rPr>
            <w:noProof/>
            <w:webHidden/>
          </w:rPr>
          <w:fldChar w:fldCharType="begin"/>
        </w:r>
        <w:r w:rsidR="000B616B">
          <w:rPr>
            <w:noProof/>
            <w:webHidden/>
          </w:rPr>
          <w:instrText xml:space="preserve"> PAGEREF _Toc85098569 \h </w:instrText>
        </w:r>
        <w:r w:rsidR="000B616B">
          <w:rPr>
            <w:noProof/>
            <w:webHidden/>
          </w:rPr>
        </w:r>
        <w:r w:rsidR="000B616B">
          <w:rPr>
            <w:noProof/>
            <w:webHidden/>
          </w:rPr>
          <w:fldChar w:fldCharType="separate"/>
        </w:r>
        <w:r w:rsidR="00D12D06">
          <w:rPr>
            <w:noProof/>
            <w:webHidden/>
          </w:rPr>
          <w:t>8</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70" w:history="1">
        <w:r w:rsidR="000B616B" w:rsidRPr="0093722E">
          <w:rPr>
            <w:rStyle w:val="Hyperlink"/>
            <w:noProof/>
          </w:rPr>
          <w:t>Tablo 15 Örnek Katılımcı Çeyreklik Pozisyon Limitleri</w:t>
        </w:r>
        <w:r w:rsidR="000B616B">
          <w:rPr>
            <w:noProof/>
            <w:webHidden/>
          </w:rPr>
          <w:tab/>
        </w:r>
        <w:r w:rsidR="000B616B">
          <w:rPr>
            <w:noProof/>
            <w:webHidden/>
          </w:rPr>
          <w:fldChar w:fldCharType="begin"/>
        </w:r>
        <w:r w:rsidR="000B616B">
          <w:rPr>
            <w:noProof/>
            <w:webHidden/>
          </w:rPr>
          <w:instrText xml:space="preserve"> PAGEREF _Toc85098570 \h </w:instrText>
        </w:r>
        <w:r w:rsidR="000B616B">
          <w:rPr>
            <w:noProof/>
            <w:webHidden/>
          </w:rPr>
        </w:r>
        <w:r w:rsidR="000B616B">
          <w:rPr>
            <w:noProof/>
            <w:webHidden/>
          </w:rPr>
          <w:fldChar w:fldCharType="separate"/>
        </w:r>
        <w:r w:rsidR="00D12D06">
          <w:rPr>
            <w:noProof/>
            <w:webHidden/>
          </w:rPr>
          <w:t>8</w:t>
        </w:r>
        <w:r w:rsidR="000B616B">
          <w:rPr>
            <w:noProof/>
            <w:webHidden/>
          </w:rPr>
          <w:fldChar w:fldCharType="end"/>
        </w:r>
      </w:hyperlink>
    </w:p>
    <w:p w:rsidR="000B616B" w:rsidRDefault="00080334">
      <w:pPr>
        <w:pStyle w:val="TableofFigures"/>
        <w:tabs>
          <w:tab w:val="right" w:leader="underscore" w:pos="9062"/>
        </w:tabs>
        <w:rPr>
          <w:rFonts w:eastAsiaTheme="minorEastAsia" w:cstheme="minorBidi"/>
          <w:i w:val="0"/>
          <w:iCs w:val="0"/>
          <w:noProof/>
          <w:sz w:val="22"/>
          <w:szCs w:val="22"/>
          <w:lang w:eastAsia="tr-TR"/>
        </w:rPr>
      </w:pPr>
      <w:hyperlink w:anchor="_Toc85098571" w:history="1">
        <w:r w:rsidR="000B616B" w:rsidRPr="0093722E">
          <w:rPr>
            <w:rStyle w:val="Hyperlink"/>
            <w:noProof/>
          </w:rPr>
          <w:t>Tablo 16 Örnek Katılımcı Aylık Pozisyon Limitleri</w:t>
        </w:r>
        <w:r w:rsidR="000B616B">
          <w:rPr>
            <w:noProof/>
            <w:webHidden/>
          </w:rPr>
          <w:tab/>
        </w:r>
        <w:r w:rsidR="000B616B">
          <w:rPr>
            <w:noProof/>
            <w:webHidden/>
          </w:rPr>
          <w:fldChar w:fldCharType="begin"/>
        </w:r>
        <w:r w:rsidR="000B616B">
          <w:rPr>
            <w:noProof/>
            <w:webHidden/>
          </w:rPr>
          <w:instrText xml:space="preserve"> PAGEREF _Toc85098571 \h </w:instrText>
        </w:r>
        <w:r w:rsidR="000B616B">
          <w:rPr>
            <w:noProof/>
            <w:webHidden/>
          </w:rPr>
        </w:r>
        <w:r w:rsidR="000B616B">
          <w:rPr>
            <w:noProof/>
            <w:webHidden/>
          </w:rPr>
          <w:fldChar w:fldCharType="separate"/>
        </w:r>
        <w:r w:rsidR="00D12D06">
          <w:rPr>
            <w:noProof/>
            <w:webHidden/>
          </w:rPr>
          <w:t>8</w:t>
        </w:r>
        <w:r w:rsidR="000B616B">
          <w:rPr>
            <w:noProof/>
            <w:webHidden/>
          </w:rPr>
          <w:fldChar w:fldCharType="end"/>
        </w:r>
      </w:hyperlink>
    </w:p>
    <w:p w:rsidR="00313215" w:rsidRPr="00313215" w:rsidRDefault="00A6554C" w:rsidP="0048752F">
      <w:pPr>
        <w:pStyle w:val="Heading1"/>
        <w:rPr>
          <w:rFonts w:cstheme="majorHAnsi"/>
        </w:rPr>
      </w:pPr>
      <w:r>
        <w:fldChar w:fldCharType="end"/>
      </w:r>
      <w:bookmarkStart w:id="1" w:name="_Toc85098590"/>
      <w:bookmarkEnd w:id="0"/>
      <w:r w:rsidR="00F5535E">
        <w:rPr>
          <w:rFonts w:cstheme="majorHAnsi"/>
        </w:rPr>
        <w:t xml:space="preserve">Piyasa ve Katılımcı </w:t>
      </w:r>
      <w:r w:rsidR="00313215" w:rsidRPr="00313215">
        <w:rPr>
          <w:rFonts w:cstheme="majorHAnsi"/>
        </w:rPr>
        <w:t>Pozisyon Limitleri</w:t>
      </w:r>
      <w:bookmarkEnd w:id="1"/>
    </w:p>
    <w:p w:rsidR="00313215" w:rsidRPr="00313215" w:rsidRDefault="00313215" w:rsidP="00313215">
      <w:pPr>
        <w:pStyle w:val="Heading2"/>
        <w:rPr>
          <w:rFonts w:cstheme="majorHAnsi"/>
        </w:rPr>
      </w:pPr>
      <w:bookmarkStart w:id="2" w:name="_Toc85098591"/>
      <w:r w:rsidRPr="00313215">
        <w:rPr>
          <w:rFonts w:cstheme="majorHAnsi"/>
        </w:rPr>
        <w:t>Piyasa Pozisyon Limitleri</w:t>
      </w:r>
      <w:bookmarkEnd w:id="2"/>
    </w:p>
    <w:p w:rsidR="00A77E7C" w:rsidRPr="00313215" w:rsidRDefault="00A77E7C" w:rsidP="00A77E7C">
      <w:pPr>
        <w:ind w:firstLine="708"/>
        <w:jc w:val="both"/>
        <w:rPr>
          <w:rFonts w:cstheme="minorHAnsi"/>
        </w:rPr>
      </w:pPr>
      <w:r w:rsidRPr="00313215">
        <w:rPr>
          <w:rFonts w:cstheme="minorHAnsi"/>
        </w:rPr>
        <w:t>Vadeli Elektrik Piyasası İşletim Usul ve Esasları</w:t>
      </w:r>
      <w:r>
        <w:rPr>
          <w:rFonts w:cstheme="minorHAnsi"/>
        </w:rPr>
        <w:t>nın</w:t>
      </w:r>
      <w:r w:rsidRPr="00313215">
        <w:rPr>
          <w:rFonts w:cstheme="minorHAnsi"/>
        </w:rPr>
        <w:t xml:space="preserve"> </w:t>
      </w:r>
      <w:r>
        <w:rPr>
          <w:rFonts w:cstheme="minorHAnsi"/>
        </w:rPr>
        <w:t xml:space="preserve">35 inci maddesinin üçüncü fıkrasında yer alan </w:t>
      </w:r>
      <w:r w:rsidRPr="006565CA">
        <w:rPr>
          <w:rFonts w:cstheme="minorHAnsi"/>
          <w:b/>
        </w:rPr>
        <w:t>“</w:t>
      </w:r>
      <w:r w:rsidRPr="006565CA">
        <w:rPr>
          <w:rFonts w:cstheme="minorHAnsi"/>
          <w:b/>
          <w:i/>
        </w:rPr>
        <w:t>Piyasa işletmecisi tarafından, piyasa pozisyon limitinin her bir teslimat dönemine karşılık gelen miktarın hesaplanmasına ilişkin hususlar ve bu teslimat dönemleri için belirlenebilecek ek limitler PYS aracılığıyla duyurulur</w:t>
      </w:r>
      <w:r w:rsidRPr="006565CA">
        <w:rPr>
          <w:rFonts w:cstheme="minorHAnsi"/>
          <w:b/>
        </w:rPr>
        <w:t>.</w:t>
      </w:r>
      <w:r>
        <w:rPr>
          <w:rFonts w:cstheme="minorHAnsi"/>
          <w:b/>
        </w:rPr>
        <w:t>”</w:t>
      </w:r>
      <w:r w:rsidRPr="006565CA">
        <w:rPr>
          <w:rFonts w:cstheme="minorHAnsi"/>
          <w:b/>
        </w:rPr>
        <w:t xml:space="preserve"> </w:t>
      </w:r>
      <w:r>
        <w:rPr>
          <w:rFonts w:cstheme="minorHAnsi"/>
        </w:rPr>
        <w:t xml:space="preserve"> hükmü</w:t>
      </w:r>
      <w:r w:rsidRPr="00313215">
        <w:rPr>
          <w:rFonts w:cstheme="minorHAnsi"/>
        </w:rPr>
        <w:t xml:space="preserve"> uyarınca piyasa pozisyon limitleri</w:t>
      </w:r>
      <w:r>
        <w:rPr>
          <w:rFonts w:cstheme="minorHAnsi"/>
        </w:rPr>
        <w:t xml:space="preserve"> </w:t>
      </w:r>
      <w:r w:rsidRPr="00313215">
        <w:rPr>
          <w:rFonts w:cstheme="minorHAnsi"/>
        </w:rPr>
        <w:t>aşağıdaki şekilde belirlenir.</w:t>
      </w:r>
    </w:p>
    <w:p w:rsidR="00A77E7C" w:rsidRPr="00313215" w:rsidRDefault="00A77E7C" w:rsidP="00A77E7C">
      <w:pPr>
        <w:ind w:firstLine="708"/>
        <w:jc w:val="both"/>
        <w:rPr>
          <w:rFonts w:cstheme="minorHAnsi"/>
        </w:rPr>
      </w:pPr>
      <w:r w:rsidRPr="00313215">
        <w:rPr>
          <w:rFonts w:cstheme="minorHAnsi"/>
        </w:rPr>
        <w:t>Enerji ve Tabii Kaynaklar Bakanlığı tarafından yayınlanan Türkiye Elektrik Enerjisi Talep Pro</w:t>
      </w:r>
      <w:r w:rsidR="0057037D">
        <w:rPr>
          <w:rFonts w:cstheme="minorHAnsi"/>
        </w:rPr>
        <w:t>jeksiyonu Raporunda yer alan Senaryo 2’ye</w:t>
      </w:r>
      <w:r w:rsidRPr="00313215">
        <w:rPr>
          <w:rFonts w:cstheme="minorHAnsi"/>
        </w:rPr>
        <w:t xml:space="preserve"> göre gelecek beş yıl boyunca her bir yıl için öngörülen yıllık elektrik enerjisi tüketim miktarlarının </w:t>
      </w:r>
      <w:r w:rsidRPr="00C77607">
        <w:rPr>
          <w:rFonts w:cstheme="minorHAnsi"/>
          <w:b/>
        </w:rPr>
        <w:t>%25’i</w:t>
      </w:r>
      <w:r w:rsidR="00A6697D">
        <w:rPr>
          <w:rFonts w:cstheme="minorHAnsi"/>
          <w:b/>
        </w:rPr>
        <w:t xml:space="preserve"> </w:t>
      </w:r>
      <w:r w:rsidR="00A6697D" w:rsidRPr="00A6697D">
        <w:rPr>
          <w:rFonts w:cstheme="minorHAnsi"/>
        </w:rPr>
        <w:t>kadar</w:t>
      </w:r>
      <w:r w:rsidRPr="00313215">
        <w:rPr>
          <w:rFonts w:cstheme="minorHAnsi"/>
        </w:rPr>
        <w:t xml:space="preserve"> </w:t>
      </w:r>
      <w:r w:rsidR="00C20391">
        <w:rPr>
          <w:rFonts w:cstheme="minorHAnsi"/>
        </w:rPr>
        <w:t>piyasa da açık pozisyon miktarı bulunabilir. Piyasa açık pozisyon miktarı alış ve satış yönünde ayrı ayrı belirlenir.</w:t>
      </w:r>
      <w:r w:rsidR="00963E7B">
        <w:rPr>
          <w:rFonts w:cstheme="minorHAnsi"/>
        </w:rPr>
        <w:t xml:space="preserve"> </w:t>
      </w:r>
      <w:r w:rsidR="00A6697D">
        <w:rPr>
          <w:rFonts w:cstheme="minorHAnsi"/>
        </w:rPr>
        <w:t>Oluşabilecek</w:t>
      </w:r>
      <w:r w:rsidR="00963E7B">
        <w:rPr>
          <w:rFonts w:cstheme="minorHAnsi"/>
        </w:rPr>
        <w:t xml:space="preserve"> açık pozisyon </w:t>
      </w:r>
      <w:r w:rsidR="00963E7B">
        <w:rPr>
          <w:rFonts w:cstheme="minorHAnsi"/>
        </w:rPr>
        <w:lastRenderedPageBreak/>
        <w:t>miktarının iki katı kadar</w:t>
      </w:r>
      <w:r w:rsidR="00A6697D">
        <w:rPr>
          <w:rFonts w:cstheme="minorHAnsi"/>
        </w:rPr>
        <w:t xml:space="preserve"> (ilgili elektrik enerjisi tüketim miktarının </w:t>
      </w:r>
      <w:r w:rsidR="00A6697D" w:rsidRPr="00A6697D">
        <w:rPr>
          <w:rFonts w:cstheme="minorHAnsi"/>
          <w:b/>
        </w:rPr>
        <w:t>%50</w:t>
      </w:r>
      <w:r w:rsidR="00A6697D">
        <w:rPr>
          <w:rFonts w:cstheme="minorHAnsi"/>
        </w:rPr>
        <w:t>’si)</w:t>
      </w:r>
      <w:r w:rsidR="00963E7B">
        <w:rPr>
          <w:rFonts w:cstheme="minorHAnsi"/>
        </w:rPr>
        <w:t xml:space="preserve"> piyasa pozisyon limitleri</w:t>
      </w:r>
      <w:r w:rsidR="00754E30">
        <w:rPr>
          <w:rFonts w:cstheme="minorHAnsi"/>
        </w:rPr>
        <w:t xml:space="preserve"> olarak</w:t>
      </w:r>
      <w:r w:rsidR="00963E7B">
        <w:rPr>
          <w:rFonts w:cstheme="minorHAnsi"/>
        </w:rPr>
        <w:t xml:space="preserve"> belirlenir</w:t>
      </w:r>
      <w:r w:rsidRPr="00313215">
        <w:rPr>
          <w:rFonts w:cstheme="minorHAnsi"/>
        </w:rPr>
        <w:t>.</w:t>
      </w:r>
      <w:r>
        <w:rPr>
          <w:rFonts w:cstheme="minorHAnsi"/>
        </w:rPr>
        <w:t xml:space="preserve"> Bu kapsamda 2021 yılına ait örnek hesaplama yöntemi aşağıda anlatılmıştır.</w:t>
      </w:r>
    </w:p>
    <w:p w:rsidR="00A77E7C" w:rsidRDefault="00A77E7C" w:rsidP="00A77E7C">
      <w:pPr>
        <w:spacing w:after="0"/>
        <w:jc w:val="both"/>
        <w:rPr>
          <w:rFonts w:cstheme="minorHAnsi"/>
        </w:rPr>
      </w:pPr>
      <w:r w:rsidRPr="00313215">
        <w:rPr>
          <w:rFonts w:cstheme="minorHAnsi"/>
        </w:rPr>
        <w:t>2019-2028 Türkiye Elektrik Enerjisi Talep Projeksiyonu Raporu verilerine göre 2021 yılı beklenen elektrik enerjisi tüketim miktarı aşağıdaki tabloda gösterilmiştir.</w:t>
      </w:r>
    </w:p>
    <w:p w:rsidR="00313215" w:rsidRDefault="00313215" w:rsidP="00313215">
      <w:pPr>
        <w:spacing w:after="0"/>
        <w:jc w:val="both"/>
        <w:rPr>
          <w:rFonts w:cstheme="minorHAnsi"/>
        </w:rPr>
      </w:pPr>
    </w:p>
    <w:p w:rsidR="00AD13B0" w:rsidRDefault="00AD13B0" w:rsidP="00313215">
      <w:pPr>
        <w:spacing w:after="0"/>
        <w:jc w:val="both"/>
        <w:rPr>
          <w:rFonts w:cstheme="minorHAnsi"/>
        </w:rPr>
      </w:pPr>
    </w:p>
    <w:tbl>
      <w:tblPr>
        <w:tblStyle w:val="GridTable1Light-Accent5"/>
        <w:tblW w:w="9002" w:type="dxa"/>
        <w:tblLook w:val="04A0" w:firstRow="1" w:lastRow="0" w:firstColumn="1" w:lastColumn="0" w:noHBand="0" w:noVBand="1"/>
      </w:tblPr>
      <w:tblGrid>
        <w:gridCol w:w="1547"/>
        <w:gridCol w:w="2485"/>
        <w:gridCol w:w="2485"/>
        <w:gridCol w:w="2485"/>
      </w:tblGrid>
      <w:tr w:rsidR="00313215" w:rsidRPr="00313215" w:rsidTr="000532DB">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DEEAF6" w:themeFill="accent1" w:themeFillTint="33"/>
            <w:noWrap/>
            <w:vAlign w:val="center"/>
            <w:hideMark/>
          </w:tcPr>
          <w:p w:rsidR="00313215" w:rsidRPr="00F36AFA" w:rsidRDefault="00313215" w:rsidP="000532DB">
            <w:pPr>
              <w:ind w:left="-255" w:right="-457" w:firstLine="255"/>
              <w:jc w:val="center"/>
              <w:rPr>
                <w:rFonts w:eastAsia="Times New Roman" w:cstheme="minorHAnsi"/>
                <w:b w:val="0"/>
                <w:bCs w:val="0"/>
                <w:color w:val="000000" w:themeColor="text1"/>
                <w:sz w:val="20"/>
                <w:szCs w:val="20"/>
                <w:lang w:eastAsia="tr-TR"/>
              </w:rPr>
            </w:pPr>
            <w:r w:rsidRPr="00F36AFA">
              <w:rPr>
                <w:rFonts w:eastAsia="Times New Roman" w:cstheme="minorHAnsi"/>
                <w:color w:val="000000" w:themeColor="text1"/>
                <w:sz w:val="20"/>
                <w:szCs w:val="20"/>
                <w:lang w:eastAsia="tr-TR"/>
              </w:rPr>
              <w:t>Türkiye Elektrik Enerjisi</w:t>
            </w:r>
            <w:r w:rsidR="00BB690D">
              <w:rPr>
                <w:rFonts w:eastAsia="Times New Roman" w:cstheme="minorHAnsi"/>
                <w:color w:val="000000" w:themeColor="text1"/>
                <w:sz w:val="20"/>
                <w:szCs w:val="20"/>
                <w:lang w:eastAsia="tr-TR"/>
              </w:rPr>
              <w:t xml:space="preserve"> Talep Projeksiyonu Raporu 2021 Yılı</w:t>
            </w:r>
            <w:r w:rsidRPr="00F36AFA">
              <w:rPr>
                <w:rFonts w:eastAsia="Times New Roman" w:cstheme="minorHAnsi"/>
                <w:color w:val="000000" w:themeColor="text1"/>
                <w:sz w:val="20"/>
                <w:szCs w:val="20"/>
                <w:lang w:eastAsia="tr-TR"/>
              </w:rPr>
              <w:t xml:space="preserve"> T</w:t>
            </w:r>
            <w:r w:rsidR="008F13ED">
              <w:rPr>
                <w:rFonts w:eastAsia="Times New Roman" w:cstheme="minorHAnsi"/>
                <w:color w:val="000000" w:themeColor="text1"/>
                <w:sz w:val="20"/>
                <w:szCs w:val="20"/>
                <w:lang w:eastAsia="tr-TR"/>
              </w:rPr>
              <w:t>üketim Tahmini (T</w:t>
            </w:r>
            <w:r w:rsidRPr="00F36AFA">
              <w:rPr>
                <w:rFonts w:eastAsia="Times New Roman" w:cstheme="minorHAnsi"/>
                <w:color w:val="000000" w:themeColor="text1"/>
                <w:sz w:val="20"/>
                <w:szCs w:val="20"/>
                <w:lang w:eastAsia="tr-TR"/>
              </w:rPr>
              <w:t>Wh)</w:t>
            </w:r>
          </w:p>
        </w:tc>
      </w:tr>
      <w:tr w:rsidR="00313215" w:rsidRPr="00313215" w:rsidTr="000532DB">
        <w:trPr>
          <w:trHeight w:val="21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313215" w:rsidRPr="00F36AFA" w:rsidRDefault="00313215" w:rsidP="00313215">
            <w:pPr>
              <w:jc w:val="center"/>
              <w:rPr>
                <w:rFonts w:eastAsia="Times New Roman" w:cstheme="minorHAnsi"/>
                <w:b w:val="0"/>
                <w:bCs w:val="0"/>
                <w:i/>
                <w:iCs/>
                <w:color w:val="000000" w:themeColor="text1"/>
                <w:sz w:val="20"/>
                <w:szCs w:val="20"/>
                <w:lang w:eastAsia="tr-TR"/>
              </w:rPr>
            </w:pPr>
            <w:r w:rsidRPr="00F36AFA">
              <w:rPr>
                <w:rFonts w:eastAsia="Times New Roman" w:cstheme="minorHAnsi"/>
                <w:i/>
                <w:iCs/>
                <w:color w:val="000000" w:themeColor="text1"/>
                <w:sz w:val="20"/>
                <w:szCs w:val="20"/>
                <w:lang w:eastAsia="tr-TR"/>
              </w:rPr>
              <w:t>Yıllar</w:t>
            </w:r>
          </w:p>
        </w:tc>
        <w:tc>
          <w:tcPr>
            <w:tcW w:w="0" w:type="auto"/>
            <w:noWrap/>
            <w:vAlign w:val="center"/>
            <w:hideMark/>
          </w:tcPr>
          <w:p w:rsidR="00313215" w:rsidRPr="00F36AFA" w:rsidRDefault="00313215" w:rsidP="0031321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themeColor="text1"/>
                <w:sz w:val="20"/>
                <w:szCs w:val="20"/>
                <w:lang w:eastAsia="tr-TR"/>
              </w:rPr>
            </w:pPr>
            <w:r w:rsidRPr="00F36AFA">
              <w:rPr>
                <w:rFonts w:eastAsia="Times New Roman" w:cstheme="minorHAnsi"/>
                <w:b/>
                <w:bCs/>
                <w:i/>
                <w:iCs/>
                <w:color w:val="000000" w:themeColor="text1"/>
                <w:sz w:val="20"/>
                <w:szCs w:val="20"/>
                <w:lang w:eastAsia="tr-TR"/>
              </w:rPr>
              <w:t>Senaryo</w:t>
            </w:r>
            <w:r w:rsidR="0057037D">
              <w:rPr>
                <w:rFonts w:eastAsia="Times New Roman" w:cstheme="minorHAnsi"/>
                <w:b/>
                <w:bCs/>
                <w:i/>
                <w:iCs/>
                <w:color w:val="000000" w:themeColor="text1"/>
                <w:sz w:val="20"/>
                <w:szCs w:val="20"/>
                <w:lang w:eastAsia="tr-TR"/>
              </w:rPr>
              <w:t xml:space="preserve"> 1</w:t>
            </w:r>
          </w:p>
        </w:tc>
        <w:tc>
          <w:tcPr>
            <w:tcW w:w="0" w:type="auto"/>
            <w:noWrap/>
            <w:vAlign w:val="center"/>
            <w:hideMark/>
          </w:tcPr>
          <w:p w:rsidR="00313215" w:rsidRPr="00F36AFA" w:rsidRDefault="00313215" w:rsidP="0031321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themeColor="text1"/>
                <w:sz w:val="20"/>
                <w:szCs w:val="20"/>
                <w:lang w:eastAsia="tr-TR"/>
              </w:rPr>
            </w:pPr>
            <w:r w:rsidRPr="00F36AFA">
              <w:rPr>
                <w:rFonts w:eastAsia="Times New Roman" w:cstheme="minorHAnsi"/>
                <w:b/>
                <w:bCs/>
                <w:i/>
                <w:iCs/>
                <w:color w:val="000000" w:themeColor="text1"/>
                <w:sz w:val="20"/>
                <w:szCs w:val="20"/>
                <w:lang w:eastAsia="tr-TR"/>
              </w:rPr>
              <w:t>Senaryo</w:t>
            </w:r>
            <w:r w:rsidR="0057037D">
              <w:rPr>
                <w:rFonts w:eastAsia="Times New Roman" w:cstheme="minorHAnsi"/>
                <w:b/>
                <w:bCs/>
                <w:i/>
                <w:iCs/>
                <w:color w:val="000000" w:themeColor="text1"/>
                <w:sz w:val="20"/>
                <w:szCs w:val="20"/>
                <w:lang w:eastAsia="tr-TR"/>
              </w:rPr>
              <w:t xml:space="preserve"> 2</w:t>
            </w:r>
          </w:p>
        </w:tc>
        <w:tc>
          <w:tcPr>
            <w:tcW w:w="0" w:type="auto"/>
            <w:noWrap/>
            <w:vAlign w:val="center"/>
            <w:hideMark/>
          </w:tcPr>
          <w:p w:rsidR="00313215" w:rsidRPr="00F36AFA" w:rsidRDefault="00313215" w:rsidP="0031321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00000" w:themeColor="text1"/>
                <w:sz w:val="20"/>
                <w:szCs w:val="20"/>
                <w:lang w:eastAsia="tr-TR"/>
              </w:rPr>
            </w:pPr>
            <w:r w:rsidRPr="00F36AFA">
              <w:rPr>
                <w:rFonts w:eastAsia="Times New Roman" w:cstheme="minorHAnsi"/>
                <w:b/>
                <w:bCs/>
                <w:i/>
                <w:iCs/>
                <w:color w:val="000000" w:themeColor="text1"/>
                <w:sz w:val="20"/>
                <w:szCs w:val="20"/>
                <w:lang w:eastAsia="tr-TR"/>
              </w:rPr>
              <w:t>Senaryo</w:t>
            </w:r>
            <w:r w:rsidR="0057037D">
              <w:rPr>
                <w:rFonts w:eastAsia="Times New Roman" w:cstheme="minorHAnsi"/>
                <w:b/>
                <w:bCs/>
                <w:i/>
                <w:iCs/>
                <w:color w:val="000000" w:themeColor="text1"/>
                <w:sz w:val="20"/>
                <w:szCs w:val="20"/>
                <w:lang w:eastAsia="tr-TR"/>
              </w:rPr>
              <w:t xml:space="preserve"> 3</w:t>
            </w:r>
          </w:p>
        </w:tc>
      </w:tr>
      <w:tr w:rsidR="00313215" w:rsidRPr="00313215" w:rsidTr="000532DB">
        <w:trPr>
          <w:trHeight w:val="213"/>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rsidR="00313215" w:rsidRPr="00F36AFA" w:rsidRDefault="00313215" w:rsidP="00313215">
            <w:pPr>
              <w:jc w:val="center"/>
              <w:rPr>
                <w:rFonts w:eastAsia="Times New Roman" w:cstheme="minorHAnsi"/>
                <w:b w:val="0"/>
                <w:bCs w:val="0"/>
                <w:color w:val="000000" w:themeColor="text1"/>
                <w:sz w:val="20"/>
                <w:szCs w:val="20"/>
                <w:lang w:eastAsia="tr-TR"/>
              </w:rPr>
            </w:pPr>
            <w:r w:rsidRPr="00F36AFA">
              <w:rPr>
                <w:rFonts w:eastAsia="Times New Roman" w:cstheme="minorHAnsi"/>
                <w:color w:val="000000" w:themeColor="text1"/>
                <w:sz w:val="20"/>
                <w:szCs w:val="20"/>
                <w:lang w:eastAsia="tr-TR"/>
              </w:rPr>
              <w:t>2021</w:t>
            </w:r>
          </w:p>
        </w:tc>
        <w:tc>
          <w:tcPr>
            <w:tcW w:w="0" w:type="auto"/>
            <w:noWrap/>
            <w:vAlign w:val="center"/>
            <w:hideMark/>
          </w:tcPr>
          <w:p w:rsidR="00313215" w:rsidRPr="00F36AFA" w:rsidRDefault="008F13ED" w:rsidP="0031321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340,5</w:t>
            </w:r>
          </w:p>
        </w:tc>
        <w:tc>
          <w:tcPr>
            <w:tcW w:w="0" w:type="auto"/>
            <w:noWrap/>
            <w:vAlign w:val="center"/>
            <w:hideMark/>
          </w:tcPr>
          <w:p w:rsidR="00313215" w:rsidRPr="00F36AFA" w:rsidRDefault="008F13ED" w:rsidP="0031321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344,4</w:t>
            </w:r>
          </w:p>
        </w:tc>
        <w:tc>
          <w:tcPr>
            <w:tcW w:w="0" w:type="auto"/>
            <w:noWrap/>
            <w:vAlign w:val="center"/>
            <w:hideMark/>
          </w:tcPr>
          <w:p w:rsidR="00313215" w:rsidRPr="00F36AFA" w:rsidRDefault="008F13ED" w:rsidP="0031321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348,7</w:t>
            </w:r>
          </w:p>
        </w:tc>
      </w:tr>
    </w:tbl>
    <w:p w:rsidR="00313215" w:rsidRDefault="00313215" w:rsidP="00313215">
      <w:pPr>
        <w:pStyle w:val="Caption"/>
        <w:keepNext/>
        <w:ind w:firstLine="708"/>
        <w:jc w:val="center"/>
        <w:rPr>
          <w:rFonts w:cstheme="minorHAnsi"/>
          <w:sz w:val="16"/>
        </w:rPr>
      </w:pPr>
      <w:bookmarkStart w:id="3" w:name="_Toc85098556"/>
      <w:r w:rsidRPr="00313215">
        <w:rPr>
          <w:rFonts w:cstheme="minorHAnsi"/>
          <w:sz w:val="16"/>
        </w:rPr>
        <w:t xml:space="preserve">Tablo </w:t>
      </w:r>
      <w:r w:rsidR="00B56224">
        <w:rPr>
          <w:rFonts w:cstheme="minorHAnsi"/>
          <w:sz w:val="16"/>
        </w:rPr>
        <w:fldChar w:fldCharType="begin"/>
      </w:r>
      <w:r w:rsidR="00B56224">
        <w:rPr>
          <w:rFonts w:cstheme="minorHAnsi"/>
          <w:sz w:val="16"/>
        </w:rPr>
        <w:instrText xml:space="preserve"> SEQ Tablo \* ARABIC </w:instrText>
      </w:r>
      <w:r w:rsidR="00B56224">
        <w:rPr>
          <w:rFonts w:cstheme="minorHAnsi"/>
          <w:sz w:val="16"/>
        </w:rPr>
        <w:fldChar w:fldCharType="separate"/>
      </w:r>
      <w:r w:rsidR="00D12D06">
        <w:rPr>
          <w:rFonts w:cstheme="minorHAnsi"/>
          <w:noProof/>
          <w:sz w:val="16"/>
        </w:rPr>
        <w:t>1</w:t>
      </w:r>
      <w:r w:rsidR="00B56224">
        <w:rPr>
          <w:rFonts w:cstheme="minorHAnsi"/>
          <w:sz w:val="16"/>
        </w:rPr>
        <w:fldChar w:fldCharType="end"/>
      </w:r>
      <w:r w:rsidRPr="00313215">
        <w:rPr>
          <w:rFonts w:cstheme="minorHAnsi"/>
          <w:sz w:val="16"/>
        </w:rPr>
        <w:t xml:space="preserve"> Türkiye Elektrik Enerjisi Talep Projeksiyonu Raporu 2021 </w:t>
      </w:r>
      <w:r w:rsidR="008F13ED">
        <w:rPr>
          <w:rFonts w:cstheme="minorHAnsi"/>
          <w:sz w:val="16"/>
        </w:rPr>
        <w:t>Yılı Elektrik Tüketim Tahmini (T</w:t>
      </w:r>
      <w:r w:rsidRPr="00313215">
        <w:rPr>
          <w:rFonts w:cstheme="minorHAnsi"/>
          <w:sz w:val="16"/>
        </w:rPr>
        <w:t>Wh)</w:t>
      </w:r>
      <w:bookmarkEnd w:id="3"/>
    </w:p>
    <w:p w:rsidR="00F31B3F" w:rsidRPr="00F31B3F" w:rsidRDefault="00F31B3F" w:rsidP="00F31B3F"/>
    <w:p w:rsidR="00313215" w:rsidRPr="00313215" w:rsidRDefault="00313215" w:rsidP="00313215">
      <w:pPr>
        <w:pStyle w:val="Heading3"/>
        <w:rPr>
          <w:rFonts w:cstheme="majorHAnsi"/>
        </w:rPr>
      </w:pPr>
      <w:bookmarkStart w:id="4" w:name="_Toc85098592"/>
      <w:r w:rsidRPr="00313215">
        <w:rPr>
          <w:rFonts w:cstheme="majorHAnsi"/>
        </w:rPr>
        <w:t>Piyasa Pozisyon Limitlerinin Teslimat Dönemleri Arasında Paylaştırılması</w:t>
      </w:r>
      <w:bookmarkEnd w:id="4"/>
    </w:p>
    <w:p w:rsidR="000B616B" w:rsidRPr="00313215" w:rsidRDefault="00313215" w:rsidP="000B616B">
      <w:pPr>
        <w:ind w:firstLine="708"/>
        <w:jc w:val="both"/>
        <w:rPr>
          <w:rFonts w:cstheme="minorHAnsi"/>
        </w:rPr>
      </w:pPr>
      <w:r w:rsidRPr="00313215">
        <w:rPr>
          <w:rFonts w:cstheme="minorHAnsi"/>
        </w:rPr>
        <w:t>Belirlenen toplam piyasa pozisyon limitleri teslimat dönemleri arasında orantısal olarak paylaştırılacaktır. Topl</w:t>
      </w:r>
      <w:r w:rsidR="00A77E7C">
        <w:rPr>
          <w:rFonts w:cstheme="minorHAnsi"/>
        </w:rPr>
        <w:t>am piyasa pozisyon</w:t>
      </w:r>
      <w:r w:rsidR="0057037D">
        <w:rPr>
          <w:rFonts w:cstheme="minorHAnsi"/>
        </w:rPr>
        <w:t xml:space="preserve"> %10’u yıllık</w:t>
      </w:r>
      <w:r w:rsidR="0057037D" w:rsidRPr="00313215">
        <w:rPr>
          <w:rFonts w:cstheme="minorHAnsi"/>
        </w:rPr>
        <w:t xml:space="preserve"> kontrat</w:t>
      </w:r>
      <w:r w:rsidR="0057037D">
        <w:rPr>
          <w:rFonts w:cstheme="minorHAnsi"/>
        </w:rPr>
        <w:t>lar %30’u</w:t>
      </w:r>
      <w:r w:rsidRPr="00313215">
        <w:rPr>
          <w:rFonts w:cstheme="minorHAnsi"/>
        </w:rPr>
        <w:t xml:space="preserve"> çeyreklik kontrat</w:t>
      </w:r>
      <w:r w:rsidR="00A77E7C">
        <w:rPr>
          <w:rFonts w:cstheme="minorHAnsi"/>
        </w:rPr>
        <w:t>lar, %60’ı ise aylık kontratlar</w:t>
      </w:r>
      <w:r w:rsidRPr="00313215">
        <w:rPr>
          <w:rFonts w:cstheme="minorHAnsi"/>
        </w:rPr>
        <w:t xml:space="preserve"> olacak şekilde paylaştırılacaktır. Haftalık ve günlük kontratların açılması durumunda ise toplam piyasa pozisyon limitleri orantısal olarak yeniden hesaplanacaktır. Hesaplanan tüm değerler en yakın tam sayı değerine yuvarlanacaktır.</w:t>
      </w:r>
    </w:p>
    <w:tbl>
      <w:tblPr>
        <w:tblStyle w:val="GridTable1Light-Accent5"/>
        <w:tblW w:w="0" w:type="auto"/>
        <w:jc w:val="center"/>
        <w:tblLook w:val="04A0" w:firstRow="1" w:lastRow="0" w:firstColumn="1" w:lastColumn="0" w:noHBand="0" w:noVBand="1"/>
      </w:tblPr>
      <w:tblGrid>
        <w:gridCol w:w="1555"/>
        <w:gridCol w:w="2126"/>
      </w:tblGrid>
      <w:tr w:rsidR="00313215" w:rsidRPr="00313215" w:rsidTr="003132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DEEAF6" w:themeFill="accent1" w:themeFillTint="33"/>
          </w:tcPr>
          <w:p w:rsidR="00313215" w:rsidRPr="00F36AFA" w:rsidRDefault="00313215" w:rsidP="00313215">
            <w:pPr>
              <w:jc w:val="center"/>
              <w:rPr>
                <w:rFonts w:cstheme="minorHAnsi"/>
                <w:i/>
                <w:sz w:val="18"/>
                <w:szCs w:val="18"/>
              </w:rPr>
            </w:pPr>
            <w:r w:rsidRPr="00F36AFA">
              <w:rPr>
                <w:rFonts w:cstheme="minorHAnsi"/>
                <w:i/>
                <w:sz w:val="18"/>
                <w:szCs w:val="18"/>
              </w:rPr>
              <w:t xml:space="preserve">Teslimat </w:t>
            </w:r>
            <w:r w:rsidRPr="00F36AFA">
              <w:rPr>
                <w:rFonts w:eastAsia="Times New Roman" w:cstheme="minorHAnsi"/>
                <w:color w:val="000000" w:themeColor="text1"/>
                <w:sz w:val="18"/>
                <w:szCs w:val="18"/>
                <w:lang w:eastAsia="tr-TR"/>
              </w:rPr>
              <w:t>Dönemi</w:t>
            </w:r>
          </w:p>
        </w:tc>
        <w:tc>
          <w:tcPr>
            <w:tcW w:w="2126" w:type="dxa"/>
            <w:shd w:val="clear" w:color="auto" w:fill="DEEAF6" w:themeFill="accent1" w:themeFillTint="33"/>
          </w:tcPr>
          <w:p w:rsidR="00313215" w:rsidRPr="00F36AFA" w:rsidRDefault="00313215" w:rsidP="00313215">
            <w:pPr>
              <w:jc w:val="center"/>
              <w:cnfStyle w:val="100000000000" w:firstRow="1" w:lastRow="0" w:firstColumn="0" w:lastColumn="0" w:oddVBand="0" w:evenVBand="0" w:oddHBand="0" w:evenHBand="0" w:firstRowFirstColumn="0" w:firstRowLastColumn="0" w:lastRowFirstColumn="0" w:lastRowLastColumn="0"/>
              <w:rPr>
                <w:rFonts w:cstheme="minorHAnsi"/>
                <w:i/>
                <w:sz w:val="18"/>
                <w:szCs w:val="18"/>
              </w:rPr>
            </w:pPr>
            <w:r w:rsidRPr="00F36AFA">
              <w:rPr>
                <w:rFonts w:cstheme="minorHAnsi"/>
                <w:i/>
                <w:sz w:val="18"/>
                <w:szCs w:val="18"/>
              </w:rPr>
              <w:t>Piyasa Pozisyon Limiti İçindeki Payı</w:t>
            </w:r>
          </w:p>
        </w:tc>
      </w:tr>
      <w:tr w:rsidR="00313215" w:rsidRPr="00313215" w:rsidTr="00681675">
        <w:trPr>
          <w:trHeight w:val="227"/>
          <w:jc w:val="center"/>
        </w:trPr>
        <w:tc>
          <w:tcPr>
            <w:cnfStyle w:val="001000000000" w:firstRow="0" w:lastRow="0" w:firstColumn="1" w:lastColumn="0" w:oddVBand="0" w:evenVBand="0" w:oddHBand="0" w:evenHBand="0" w:firstRowFirstColumn="0" w:firstRowLastColumn="0" w:lastRowFirstColumn="0" w:lastRowLastColumn="0"/>
            <w:tcW w:w="1555" w:type="dxa"/>
          </w:tcPr>
          <w:p w:rsidR="00313215" w:rsidRPr="00F36AFA" w:rsidRDefault="00313215" w:rsidP="00313215">
            <w:pPr>
              <w:jc w:val="center"/>
              <w:rPr>
                <w:rFonts w:cstheme="minorHAnsi"/>
                <w:i/>
                <w:sz w:val="18"/>
                <w:szCs w:val="18"/>
              </w:rPr>
            </w:pPr>
            <w:r w:rsidRPr="00F36AFA">
              <w:rPr>
                <w:rFonts w:eastAsia="Times New Roman" w:cstheme="minorHAnsi"/>
                <w:color w:val="000000" w:themeColor="text1"/>
                <w:sz w:val="18"/>
                <w:szCs w:val="18"/>
                <w:lang w:eastAsia="tr-TR"/>
              </w:rPr>
              <w:t>Yıl</w:t>
            </w:r>
          </w:p>
        </w:tc>
        <w:tc>
          <w:tcPr>
            <w:tcW w:w="2126" w:type="dxa"/>
          </w:tcPr>
          <w:p w:rsidR="00313215" w:rsidRPr="00F36AFA" w:rsidRDefault="0057037D" w:rsidP="00313215">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%10</w:t>
            </w:r>
          </w:p>
        </w:tc>
      </w:tr>
      <w:tr w:rsidR="00313215" w:rsidRPr="00313215" w:rsidTr="00681675">
        <w:trPr>
          <w:trHeight w:val="227"/>
          <w:jc w:val="center"/>
        </w:trPr>
        <w:tc>
          <w:tcPr>
            <w:cnfStyle w:val="001000000000" w:firstRow="0" w:lastRow="0" w:firstColumn="1" w:lastColumn="0" w:oddVBand="0" w:evenVBand="0" w:oddHBand="0" w:evenHBand="0" w:firstRowFirstColumn="0" w:firstRowLastColumn="0" w:lastRowFirstColumn="0" w:lastRowLastColumn="0"/>
            <w:tcW w:w="1555" w:type="dxa"/>
          </w:tcPr>
          <w:p w:rsidR="00313215" w:rsidRPr="00F36AFA" w:rsidRDefault="00313215" w:rsidP="00313215">
            <w:pPr>
              <w:jc w:val="center"/>
              <w:rPr>
                <w:rFonts w:cstheme="minorHAnsi"/>
                <w:i/>
                <w:sz w:val="18"/>
                <w:szCs w:val="18"/>
              </w:rPr>
            </w:pPr>
            <w:r w:rsidRPr="00F36AFA">
              <w:rPr>
                <w:rFonts w:eastAsia="Times New Roman" w:cstheme="minorHAnsi"/>
                <w:color w:val="000000" w:themeColor="text1"/>
                <w:sz w:val="18"/>
                <w:szCs w:val="18"/>
                <w:lang w:eastAsia="tr-TR"/>
              </w:rPr>
              <w:t>Çeyrek</w:t>
            </w:r>
          </w:p>
        </w:tc>
        <w:tc>
          <w:tcPr>
            <w:tcW w:w="2126" w:type="dxa"/>
          </w:tcPr>
          <w:p w:rsidR="00313215" w:rsidRPr="00F36AFA" w:rsidRDefault="00313215" w:rsidP="00313215">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36AFA">
              <w:rPr>
                <w:rFonts w:cstheme="minorHAnsi"/>
                <w:sz w:val="18"/>
                <w:szCs w:val="18"/>
              </w:rPr>
              <w:t>%</w:t>
            </w:r>
            <w:r w:rsidR="0057037D">
              <w:rPr>
                <w:rFonts w:eastAsia="Times New Roman" w:cstheme="minorHAnsi"/>
                <w:color w:val="000000" w:themeColor="text1"/>
                <w:sz w:val="18"/>
                <w:szCs w:val="18"/>
                <w:lang w:eastAsia="tr-TR"/>
              </w:rPr>
              <w:t>3</w:t>
            </w:r>
            <w:r w:rsidR="00322F04">
              <w:rPr>
                <w:rFonts w:eastAsia="Times New Roman" w:cstheme="minorHAnsi"/>
                <w:color w:val="000000" w:themeColor="text1"/>
                <w:sz w:val="18"/>
                <w:szCs w:val="18"/>
                <w:lang w:eastAsia="tr-TR"/>
              </w:rPr>
              <w:t>0</w:t>
            </w:r>
          </w:p>
        </w:tc>
      </w:tr>
      <w:tr w:rsidR="00313215" w:rsidRPr="00313215" w:rsidTr="00681675">
        <w:trPr>
          <w:trHeight w:val="227"/>
          <w:jc w:val="center"/>
        </w:trPr>
        <w:tc>
          <w:tcPr>
            <w:cnfStyle w:val="001000000000" w:firstRow="0" w:lastRow="0" w:firstColumn="1" w:lastColumn="0" w:oddVBand="0" w:evenVBand="0" w:oddHBand="0" w:evenHBand="0" w:firstRowFirstColumn="0" w:firstRowLastColumn="0" w:lastRowFirstColumn="0" w:lastRowLastColumn="0"/>
            <w:tcW w:w="1555" w:type="dxa"/>
          </w:tcPr>
          <w:p w:rsidR="00313215" w:rsidRPr="00F36AFA" w:rsidRDefault="00313215" w:rsidP="00313215">
            <w:pPr>
              <w:jc w:val="center"/>
              <w:rPr>
                <w:rFonts w:cstheme="minorHAnsi"/>
                <w:i/>
                <w:sz w:val="18"/>
                <w:szCs w:val="18"/>
              </w:rPr>
            </w:pPr>
            <w:r w:rsidRPr="00F36AFA">
              <w:rPr>
                <w:rFonts w:eastAsia="Times New Roman" w:cstheme="minorHAnsi"/>
                <w:color w:val="000000" w:themeColor="text1"/>
                <w:sz w:val="18"/>
                <w:szCs w:val="18"/>
                <w:lang w:eastAsia="tr-TR"/>
              </w:rPr>
              <w:t>Ay</w:t>
            </w:r>
          </w:p>
        </w:tc>
        <w:tc>
          <w:tcPr>
            <w:tcW w:w="2126" w:type="dxa"/>
          </w:tcPr>
          <w:p w:rsidR="00313215" w:rsidRPr="00F36AFA" w:rsidRDefault="00313215" w:rsidP="00313215">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36AFA">
              <w:rPr>
                <w:rFonts w:cstheme="minorHAnsi"/>
                <w:sz w:val="18"/>
                <w:szCs w:val="18"/>
              </w:rPr>
              <w:t>%</w:t>
            </w:r>
            <w:r w:rsidRPr="00F36AFA">
              <w:rPr>
                <w:rFonts w:eastAsia="Times New Roman" w:cstheme="minorHAnsi"/>
                <w:color w:val="000000" w:themeColor="text1"/>
                <w:sz w:val="18"/>
                <w:szCs w:val="18"/>
                <w:lang w:eastAsia="tr-TR"/>
              </w:rPr>
              <w:t>60</w:t>
            </w:r>
          </w:p>
        </w:tc>
      </w:tr>
      <w:tr w:rsidR="00313215" w:rsidRPr="00313215" w:rsidTr="00681675">
        <w:trPr>
          <w:trHeight w:val="227"/>
          <w:jc w:val="center"/>
        </w:trPr>
        <w:tc>
          <w:tcPr>
            <w:cnfStyle w:val="001000000000" w:firstRow="0" w:lastRow="0" w:firstColumn="1" w:lastColumn="0" w:oddVBand="0" w:evenVBand="0" w:oddHBand="0" w:evenHBand="0" w:firstRowFirstColumn="0" w:firstRowLastColumn="0" w:lastRowFirstColumn="0" w:lastRowLastColumn="0"/>
            <w:tcW w:w="1555" w:type="dxa"/>
          </w:tcPr>
          <w:p w:rsidR="00313215" w:rsidRPr="00F36AFA" w:rsidRDefault="00313215" w:rsidP="00313215">
            <w:pPr>
              <w:jc w:val="center"/>
              <w:rPr>
                <w:rFonts w:cstheme="minorHAnsi"/>
                <w:i/>
                <w:sz w:val="18"/>
                <w:szCs w:val="18"/>
              </w:rPr>
            </w:pPr>
            <w:r w:rsidRPr="00F36AFA">
              <w:rPr>
                <w:rFonts w:eastAsia="Times New Roman" w:cstheme="minorHAnsi"/>
                <w:color w:val="000000" w:themeColor="text1"/>
                <w:sz w:val="18"/>
                <w:szCs w:val="18"/>
                <w:lang w:eastAsia="tr-TR"/>
              </w:rPr>
              <w:t>Hafta</w:t>
            </w:r>
          </w:p>
        </w:tc>
        <w:tc>
          <w:tcPr>
            <w:tcW w:w="2126" w:type="dxa"/>
          </w:tcPr>
          <w:p w:rsidR="00313215" w:rsidRPr="00F36AFA" w:rsidRDefault="00313215" w:rsidP="00313215">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36AFA">
              <w:rPr>
                <w:rFonts w:cstheme="minorHAnsi"/>
                <w:sz w:val="18"/>
                <w:szCs w:val="18"/>
              </w:rPr>
              <w:t>%0</w:t>
            </w:r>
          </w:p>
        </w:tc>
      </w:tr>
      <w:tr w:rsidR="00313215" w:rsidRPr="00313215" w:rsidTr="00681675">
        <w:trPr>
          <w:trHeight w:val="227"/>
          <w:jc w:val="center"/>
        </w:trPr>
        <w:tc>
          <w:tcPr>
            <w:cnfStyle w:val="001000000000" w:firstRow="0" w:lastRow="0" w:firstColumn="1" w:lastColumn="0" w:oddVBand="0" w:evenVBand="0" w:oddHBand="0" w:evenHBand="0" w:firstRowFirstColumn="0" w:firstRowLastColumn="0" w:lastRowFirstColumn="0" w:lastRowLastColumn="0"/>
            <w:tcW w:w="1555" w:type="dxa"/>
          </w:tcPr>
          <w:p w:rsidR="00AD13B0" w:rsidRPr="00F36AFA" w:rsidRDefault="00313215" w:rsidP="00F31B3F">
            <w:pPr>
              <w:jc w:val="center"/>
              <w:rPr>
                <w:rFonts w:eastAsia="Times New Roman" w:cstheme="minorHAnsi"/>
                <w:color w:val="000000" w:themeColor="text1"/>
                <w:sz w:val="18"/>
                <w:szCs w:val="18"/>
                <w:lang w:eastAsia="tr-TR"/>
              </w:rPr>
            </w:pPr>
            <w:r w:rsidRPr="00F36AFA">
              <w:rPr>
                <w:rFonts w:eastAsia="Times New Roman" w:cstheme="minorHAnsi"/>
                <w:color w:val="000000" w:themeColor="text1"/>
                <w:sz w:val="18"/>
                <w:szCs w:val="18"/>
                <w:lang w:eastAsia="tr-TR"/>
              </w:rPr>
              <w:t>Gün</w:t>
            </w:r>
          </w:p>
        </w:tc>
        <w:tc>
          <w:tcPr>
            <w:tcW w:w="2126" w:type="dxa"/>
          </w:tcPr>
          <w:p w:rsidR="00313215" w:rsidRPr="00F36AFA" w:rsidRDefault="00313215" w:rsidP="00313215">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36AFA">
              <w:rPr>
                <w:rFonts w:cstheme="minorHAnsi"/>
                <w:sz w:val="18"/>
                <w:szCs w:val="18"/>
              </w:rPr>
              <w:t>%0</w:t>
            </w:r>
          </w:p>
        </w:tc>
      </w:tr>
    </w:tbl>
    <w:p w:rsidR="00F31B3F" w:rsidRDefault="00313215" w:rsidP="00F31B3F">
      <w:pPr>
        <w:pStyle w:val="Caption"/>
        <w:jc w:val="center"/>
        <w:rPr>
          <w:rFonts w:cstheme="minorHAnsi"/>
          <w:sz w:val="16"/>
        </w:rPr>
      </w:pPr>
      <w:r w:rsidRPr="00313215">
        <w:rPr>
          <w:rFonts w:cstheme="minorHAnsi"/>
        </w:rPr>
        <w:t xml:space="preserve"> </w:t>
      </w:r>
      <w:bookmarkStart w:id="5" w:name="_Toc85098557"/>
      <w:r w:rsidRPr="00313215">
        <w:rPr>
          <w:rFonts w:cstheme="minorHAnsi"/>
          <w:sz w:val="16"/>
        </w:rPr>
        <w:t xml:space="preserve">Tablo </w:t>
      </w:r>
      <w:r w:rsidR="00B56224">
        <w:rPr>
          <w:rFonts w:cstheme="minorHAnsi"/>
          <w:sz w:val="16"/>
        </w:rPr>
        <w:fldChar w:fldCharType="begin"/>
      </w:r>
      <w:r w:rsidR="00B56224">
        <w:rPr>
          <w:rFonts w:cstheme="minorHAnsi"/>
          <w:sz w:val="16"/>
        </w:rPr>
        <w:instrText xml:space="preserve"> SEQ Tablo \* ARABIC </w:instrText>
      </w:r>
      <w:r w:rsidR="00B56224">
        <w:rPr>
          <w:rFonts w:cstheme="minorHAnsi"/>
          <w:sz w:val="16"/>
        </w:rPr>
        <w:fldChar w:fldCharType="separate"/>
      </w:r>
      <w:r w:rsidR="00D12D06">
        <w:rPr>
          <w:rFonts w:cstheme="minorHAnsi"/>
          <w:noProof/>
          <w:sz w:val="16"/>
        </w:rPr>
        <w:t>2</w:t>
      </w:r>
      <w:r w:rsidR="00B56224">
        <w:rPr>
          <w:rFonts w:cstheme="minorHAnsi"/>
          <w:sz w:val="16"/>
        </w:rPr>
        <w:fldChar w:fldCharType="end"/>
      </w:r>
      <w:r w:rsidRPr="00313215">
        <w:rPr>
          <w:rFonts w:cstheme="minorHAnsi"/>
          <w:sz w:val="16"/>
        </w:rPr>
        <w:t xml:space="preserve"> Piyasa Pozisyon Limitinin Teslimat dönemi bazındaki oranları</w:t>
      </w:r>
      <w:bookmarkEnd w:id="5"/>
    </w:p>
    <w:tbl>
      <w:tblPr>
        <w:tblW w:w="10013" w:type="dxa"/>
        <w:tblInd w:w="-10" w:type="dxa"/>
        <w:tblCellMar>
          <w:left w:w="70" w:type="dxa"/>
          <w:right w:w="70" w:type="dxa"/>
        </w:tblCellMar>
        <w:tblLook w:val="04A0" w:firstRow="1" w:lastRow="0" w:firstColumn="1" w:lastColumn="0" w:noHBand="0" w:noVBand="1"/>
      </w:tblPr>
      <w:tblGrid>
        <w:gridCol w:w="1051"/>
        <w:gridCol w:w="1481"/>
        <w:gridCol w:w="1724"/>
        <w:gridCol w:w="1992"/>
        <w:gridCol w:w="1904"/>
        <w:gridCol w:w="1861"/>
      </w:tblGrid>
      <w:tr w:rsidR="0057037D" w:rsidRPr="0057037D" w:rsidTr="001869B0">
        <w:trPr>
          <w:trHeight w:val="220"/>
        </w:trPr>
        <w:tc>
          <w:tcPr>
            <w:tcW w:w="1051"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5562FC" w:rsidRDefault="005562FC" w:rsidP="001869B0">
            <w:pPr>
              <w:spacing w:after="0" w:line="240" w:lineRule="auto"/>
              <w:jc w:val="center"/>
              <w:rPr>
                <w:rFonts w:ascii="Calibri" w:eastAsia="Times New Roman" w:hAnsi="Calibri" w:cs="Calibri"/>
                <w:b/>
                <w:bCs/>
                <w:i/>
                <w:iCs/>
                <w:color w:val="000000"/>
                <w:sz w:val="18"/>
                <w:szCs w:val="18"/>
                <w:lang w:eastAsia="tr-TR"/>
              </w:rPr>
            </w:pPr>
          </w:p>
          <w:p w:rsidR="0057037D" w:rsidRDefault="0057037D" w:rsidP="001869B0">
            <w:pPr>
              <w:spacing w:after="0" w:line="240" w:lineRule="auto"/>
              <w:jc w:val="center"/>
              <w:rPr>
                <w:rFonts w:ascii="Calibri" w:eastAsia="Times New Roman" w:hAnsi="Calibri" w:cs="Calibri"/>
                <w:b/>
                <w:bCs/>
                <w:i/>
                <w:iCs/>
                <w:color w:val="000000"/>
                <w:sz w:val="18"/>
                <w:szCs w:val="18"/>
                <w:lang w:eastAsia="tr-TR"/>
              </w:rPr>
            </w:pPr>
            <w:r w:rsidRPr="0057037D">
              <w:rPr>
                <w:rFonts w:ascii="Calibri" w:eastAsia="Times New Roman" w:hAnsi="Calibri" w:cs="Calibri"/>
                <w:b/>
                <w:bCs/>
                <w:i/>
                <w:iCs/>
                <w:color w:val="000000"/>
                <w:sz w:val="18"/>
                <w:szCs w:val="18"/>
                <w:lang w:eastAsia="tr-TR"/>
              </w:rPr>
              <w:t>2021</w:t>
            </w:r>
          </w:p>
          <w:p w:rsidR="0057037D" w:rsidRPr="0057037D" w:rsidRDefault="0057037D" w:rsidP="001869B0">
            <w:pPr>
              <w:spacing w:after="0" w:line="240" w:lineRule="auto"/>
              <w:jc w:val="center"/>
              <w:rPr>
                <w:rFonts w:ascii="Calibri" w:eastAsia="Times New Roman" w:hAnsi="Calibri" w:cs="Calibri"/>
                <w:b/>
                <w:bCs/>
                <w:i/>
                <w:iCs/>
                <w:color w:val="000000"/>
                <w:sz w:val="18"/>
                <w:szCs w:val="18"/>
                <w:lang w:eastAsia="tr-TR"/>
              </w:rPr>
            </w:pPr>
          </w:p>
        </w:tc>
        <w:tc>
          <w:tcPr>
            <w:tcW w:w="1481"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57037D" w:rsidRPr="0057037D" w:rsidRDefault="0057037D" w:rsidP="0057037D">
            <w:pPr>
              <w:spacing w:after="0" w:line="240" w:lineRule="auto"/>
              <w:jc w:val="center"/>
              <w:rPr>
                <w:rFonts w:ascii="Calibri" w:eastAsia="Times New Roman" w:hAnsi="Calibri" w:cs="Calibri"/>
                <w:b/>
                <w:bCs/>
                <w:i/>
                <w:iCs/>
                <w:color w:val="000000"/>
                <w:sz w:val="18"/>
                <w:szCs w:val="18"/>
                <w:lang w:eastAsia="tr-TR"/>
              </w:rPr>
            </w:pPr>
            <w:r w:rsidRPr="0057037D">
              <w:rPr>
                <w:rFonts w:ascii="Calibri" w:eastAsia="Times New Roman" w:hAnsi="Calibri" w:cs="Calibri"/>
                <w:b/>
                <w:bCs/>
                <w:i/>
                <w:iCs/>
                <w:color w:val="000000"/>
                <w:sz w:val="18"/>
                <w:szCs w:val="18"/>
                <w:lang w:eastAsia="tr-TR"/>
              </w:rPr>
              <w:t>Senaryo 2 Tüketim Tahmini</w:t>
            </w:r>
          </w:p>
        </w:tc>
        <w:tc>
          <w:tcPr>
            <w:tcW w:w="1724"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57037D" w:rsidRPr="0057037D" w:rsidRDefault="0057037D" w:rsidP="0057037D">
            <w:pPr>
              <w:spacing w:after="0" w:line="240" w:lineRule="auto"/>
              <w:jc w:val="center"/>
              <w:rPr>
                <w:rFonts w:ascii="Calibri" w:eastAsia="Times New Roman" w:hAnsi="Calibri" w:cs="Calibri"/>
                <w:b/>
                <w:bCs/>
                <w:i/>
                <w:iCs/>
                <w:color w:val="000000"/>
                <w:sz w:val="18"/>
                <w:szCs w:val="18"/>
                <w:lang w:eastAsia="tr-TR"/>
              </w:rPr>
            </w:pPr>
            <w:r w:rsidRPr="0057037D">
              <w:rPr>
                <w:rFonts w:ascii="Calibri" w:eastAsia="Times New Roman" w:hAnsi="Calibri" w:cs="Calibri"/>
                <w:b/>
                <w:bCs/>
                <w:i/>
                <w:iCs/>
                <w:color w:val="000000"/>
                <w:sz w:val="18"/>
                <w:szCs w:val="18"/>
                <w:lang w:eastAsia="tr-TR"/>
              </w:rPr>
              <w:t>Piyasa Pozisyon Limiti</w:t>
            </w:r>
          </w:p>
        </w:tc>
        <w:tc>
          <w:tcPr>
            <w:tcW w:w="1992"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57037D" w:rsidRPr="0057037D" w:rsidRDefault="0057037D" w:rsidP="0057037D">
            <w:pPr>
              <w:spacing w:after="0" w:line="240" w:lineRule="auto"/>
              <w:jc w:val="center"/>
              <w:rPr>
                <w:rFonts w:ascii="Calibri" w:eastAsia="Times New Roman" w:hAnsi="Calibri" w:cs="Calibri"/>
                <w:b/>
                <w:bCs/>
                <w:i/>
                <w:iCs/>
                <w:color w:val="000000"/>
                <w:sz w:val="18"/>
                <w:szCs w:val="18"/>
                <w:lang w:eastAsia="tr-TR"/>
              </w:rPr>
            </w:pPr>
            <w:r w:rsidRPr="0057037D">
              <w:rPr>
                <w:rFonts w:ascii="Calibri" w:eastAsia="Times New Roman" w:hAnsi="Calibri" w:cs="Calibri"/>
                <w:b/>
                <w:bCs/>
                <w:i/>
                <w:iCs/>
                <w:color w:val="000000"/>
                <w:sz w:val="18"/>
                <w:szCs w:val="18"/>
                <w:lang w:eastAsia="tr-TR"/>
              </w:rPr>
              <w:t>Yıl Kontratı Piyasa Pozisyon Limiti</w:t>
            </w:r>
          </w:p>
        </w:tc>
        <w:tc>
          <w:tcPr>
            <w:tcW w:w="1904"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57037D" w:rsidRPr="0057037D" w:rsidRDefault="0057037D" w:rsidP="0057037D">
            <w:pPr>
              <w:spacing w:after="0" w:line="240" w:lineRule="auto"/>
              <w:jc w:val="center"/>
              <w:rPr>
                <w:rFonts w:ascii="Calibri" w:eastAsia="Times New Roman" w:hAnsi="Calibri" w:cs="Calibri"/>
                <w:b/>
                <w:bCs/>
                <w:i/>
                <w:iCs/>
                <w:color w:val="000000"/>
                <w:sz w:val="18"/>
                <w:szCs w:val="18"/>
                <w:lang w:eastAsia="tr-TR"/>
              </w:rPr>
            </w:pPr>
            <w:r w:rsidRPr="0057037D">
              <w:rPr>
                <w:rFonts w:ascii="Calibri" w:eastAsia="Times New Roman" w:hAnsi="Calibri" w:cs="Calibri"/>
                <w:b/>
                <w:bCs/>
                <w:i/>
                <w:iCs/>
                <w:color w:val="000000"/>
                <w:sz w:val="18"/>
                <w:szCs w:val="18"/>
                <w:lang w:eastAsia="tr-TR"/>
              </w:rPr>
              <w:t>Çeyrek Kontratları Piyasa Pozisyon Limiti</w:t>
            </w:r>
          </w:p>
        </w:tc>
        <w:tc>
          <w:tcPr>
            <w:tcW w:w="1861"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57037D" w:rsidRPr="0057037D" w:rsidRDefault="0057037D" w:rsidP="0057037D">
            <w:pPr>
              <w:spacing w:after="0" w:line="240" w:lineRule="auto"/>
              <w:jc w:val="center"/>
              <w:rPr>
                <w:rFonts w:ascii="Calibri" w:eastAsia="Times New Roman" w:hAnsi="Calibri" w:cs="Calibri"/>
                <w:b/>
                <w:bCs/>
                <w:i/>
                <w:iCs/>
                <w:color w:val="000000"/>
                <w:sz w:val="18"/>
                <w:szCs w:val="18"/>
                <w:lang w:eastAsia="tr-TR"/>
              </w:rPr>
            </w:pPr>
            <w:r w:rsidRPr="0057037D">
              <w:rPr>
                <w:rFonts w:ascii="Calibri" w:eastAsia="Times New Roman" w:hAnsi="Calibri" w:cs="Calibri"/>
                <w:b/>
                <w:bCs/>
                <w:i/>
                <w:iCs/>
                <w:color w:val="000000"/>
                <w:sz w:val="18"/>
                <w:szCs w:val="18"/>
                <w:lang w:eastAsia="tr-TR"/>
              </w:rPr>
              <w:t>Ay Kontratları Piyasa Pozisyon Limiti</w:t>
            </w:r>
          </w:p>
        </w:tc>
      </w:tr>
      <w:tr w:rsidR="0057037D" w:rsidRPr="0057037D" w:rsidTr="0057037D">
        <w:trPr>
          <w:trHeight w:val="450"/>
        </w:trPr>
        <w:tc>
          <w:tcPr>
            <w:tcW w:w="1051"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481"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724"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992"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904"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861"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r>
      <w:tr w:rsidR="0057037D" w:rsidRPr="0057037D" w:rsidTr="0057037D">
        <w:trPr>
          <w:trHeight w:val="450"/>
        </w:trPr>
        <w:tc>
          <w:tcPr>
            <w:tcW w:w="1051"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481"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724"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992"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904"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c>
          <w:tcPr>
            <w:tcW w:w="1861" w:type="dxa"/>
            <w:vMerge/>
            <w:tcBorders>
              <w:top w:val="single" w:sz="8" w:space="0" w:color="BDD6EE"/>
              <w:left w:val="single" w:sz="8" w:space="0" w:color="BDD6EE"/>
              <w:bottom w:val="single" w:sz="12" w:space="0" w:color="9CC2E5"/>
              <w:right w:val="single" w:sz="8" w:space="0" w:color="BDD6EE"/>
            </w:tcBorders>
            <w:vAlign w:val="center"/>
            <w:hideMark/>
          </w:tcPr>
          <w:p w:rsidR="0057037D" w:rsidRPr="0057037D" w:rsidRDefault="0057037D" w:rsidP="0057037D">
            <w:pPr>
              <w:spacing w:after="0" w:line="240" w:lineRule="auto"/>
              <w:rPr>
                <w:rFonts w:ascii="Calibri" w:eastAsia="Times New Roman" w:hAnsi="Calibri" w:cs="Calibri"/>
                <w:b/>
                <w:bCs/>
                <w:i/>
                <w:iCs/>
                <w:color w:val="000000"/>
                <w:sz w:val="18"/>
                <w:szCs w:val="18"/>
                <w:lang w:eastAsia="tr-TR"/>
              </w:rPr>
            </w:pPr>
          </w:p>
        </w:tc>
      </w:tr>
      <w:tr w:rsidR="0057037D" w:rsidRPr="0057037D" w:rsidTr="0057037D">
        <w:trPr>
          <w:trHeight w:val="183"/>
        </w:trPr>
        <w:tc>
          <w:tcPr>
            <w:tcW w:w="1051" w:type="dxa"/>
            <w:tcBorders>
              <w:top w:val="nil"/>
              <w:left w:val="single" w:sz="8" w:space="0" w:color="BDD6EE"/>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b/>
                <w:bCs/>
                <w:color w:val="000000"/>
                <w:sz w:val="18"/>
                <w:szCs w:val="18"/>
                <w:lang w:eastAsia="tr-TR"/>
              </w:rPr>
            </w:pPr>
            <w:r w:rsidRPr="0057037D">
              <w:rPr>
                <w:rFonts w:ascii="Calibri" w:eastAsia="Times New Roman" w:hAnsi="Calibri" w:cs="Calibri"/>
                <w:b/>
                <w:bCs/>
                <w:color w:val="000000"/>
                <w:sz w:val="18"/>
                <w:szCs w:val="18"/>
                <w:lang w:eastAsia="tr-TR"/>
              </w:rPr>
              <w:t>MWh</w:t>
            </w:r>
          </w:p>
        </w:tc>
        <w:tc>
          <w:tcPr>
            <w:tcW w:w="1481"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344.400.000</w:t>
            </w:r>
          </w:p>
        </w:tc>
        <w:tc>
          <w:tcPr>
            <w:tcW w:w="1724"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172.200.000</w:t>
            </w:r>
          </w:p>
        </w:tc>
        <w:tc>
          <w:tcPr>
            <w:tcW w:w="1992"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17.220.000</w:t>
            </w:r>
          </w:p>
        </w:tc>
        <w:tc>
          <w:tcPr>
            <w:tcW w:w="1904"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51.660.000</w:t>
            </w:r>
          </w:p>
        </w:tc>
        <w:tc>
          <w:tcPr>
            <w:tcW w:w="1861"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103.320.000</w:t>
            </w:r>
          </w:p>
        </w:tc>
      </w:tr>
      <w:tr w:rsidR="0057037D" w:rsidRPr="0057037D" w:rsidTr="0057037D">
        <w:trPr>
          <w:trHeight w:val="175"/>
        </w:trPr>
        <w:tc>
          <w:tcPr>
            <w:tcW w:w="1051" w:type="dxa"/>
            <w:tcBorders>
              <w:top w:val="nil"/>
              <w:left w:val="single" w:sz="8" w:space="0" w:color="BDD6EE"/>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b/>
                <w:bCs/>
                <w:color w:val="000000"/>
                <w:sz w:val="18"/>
                <w:szCs w:val="18"/>
                <w:lang w:eastAsia="tr-TR"/>
              </w:rPr>
            </w:pPr>
            <w:r w:rsidRPr="0057037D">
              <w:rPr>
                <w:rFonts w:ascii="Calibri" w:eastAsia="Times New Roman" w:hAnsi="Calibri" w:cs="Calibri"/>
                <w:b/>
                <w:bCs/>
                <w:color w:val="000000"/>
                <w:sz w:val="18"/>
                <w:szCs w:val="18"/>
                <w:lang w:eastAsia="tr-TR"/>
              </w:rPr>
              <w:t>MW</w:t>
            </w:r>
          </w:p>
        </w:tc>
        <w:tc>
          <w:tcPr>
            <w:tcW w:w="1481"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39.315</w:t>
            </w:r>
          </w:p>
        </w:tc>
        <w:tc>
          <w:tcPr>
            <w:tcW w:w="1724"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19.658</w:t>
            </w:r>
          </w:p>
        </w:tc>
        <w:tc>
          <w:tcPr>
            <w:tcW w:w="1992"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1.966</w:t>
            </w:r>
          </w:p>
        </w:tc>
        <w:tc>
          <w:tcPr>
            <w:tcW w:w="1904"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5.897</w:t>
            </w:r>
          </w:p>
        </w:tc>
        <w:tc>
          <w:tcPr>
            <w:tcW w:w="1861"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11.795</w:t>
            </w:r>
          </w:p>
        </w:tc>
      </w:tr>
      <w:tr w:rsidR="0057037D" w:rsidRPr="0057037D" w:rsidTr="0057037D">
        <w:trPr>
          <w:trHeight w:val="175"/>
        </w:trPr>
        <w:tc>
          <w:tcPr>
            <w:tcW w:w="1051" w:type="dxa"/>
            <w:tcBorders>
              <w:top w:val="nil"/>
              <w:left w:val="single" w:sz="8" w:space="0" w:color="BDD6EE"/>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b/>
                <w:bCs/>
                <w:color w:val="000000"/>
                <w:sz w:val="18"/>
                <w:szCs w:val="18"/>
                <w:lang w:eastAsia="tr-TR"/>
              </w:rPr>
            </w:pPr>
            <w:r w:rsidRPr="0057037D">
              <w:rPr>
                <w:rFonts w:ascii="Calibri" w:eastAsia="Times New Roman" w:hAnsi="Calibri" w:cs="Calibri"/>
                <w:b/>
                <w:bCs/>
                <w:color w:val="000000"/>
                <w:sz w:val="18"/>
                <w:szCs w:val="18"/>
                <w:lang w:eastAsia="tr-TR"/>
              </w:rPr>
              <w:t xml:space="preserve">Lot </w:t>
            </w:r>
          </w:p>
        </w:tc>
        <w:tc>
          <w:tcPr>
            <w:tcW w:w="1481"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3.444.000.000</w:t>
            </w:r>
          </w:p>
        </w:tc>
        <w:tc>
          <w:tcPr>
            <w:tcW w:w="1724"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1.722.000.000</w:t>
            </w:r>
          </w:p>
        </w:tc>
        <w:tc>
          <w:tcPr>
            <w:tcW w:w="1992"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172.200.000</w:t>
            </w:r>
          </w:p>
        </w:tc>
        <w:tc>
          <w:tcPr>
            <w:tcW w:w="1904"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516.600.000</w:t>
            </w:r>
          </w:p>
        </w:tc>
        <w:tc>
          <w:tcPr>
            <w:tcW w:w="1861"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1.033.200.000</w:t>
            </w:r>
          </w:p>
        </w:tc>
      </w:tr>
      <w:tr w:rsidR="0057037D" w:rsidRPr="0057037D" w:rsidTr="0057037D">
        <w:trPr>
          <w:trHeight w:val="175"/>
        </w:trPr>
        <w:tc>
          <w:tcPr>
            <w:tcW w:w="1051" w:type="dxa"/>
            <w:tcBorders>
              <w:top w:val="nil"/>
              <w:left w:val="single" w:sz="8" w:space="0" w:color="BDD6EE"/>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b/>
                <w:bCs/>
                <w:color w:val="000000"/>
                <w:sz w:val="18"/>
                <w:szCs w:val="18"/>
                <w:lang w:eastAsia="tr-TR"/>
              </w:rPr>
            </w:pPr>
            <w:r w:rsidRPr="0057037D">
              <w:rPr>
                <w:rFonts w:ascii="Calibri" w:eastAsia="Times New Roman" w:hAnsi="Calibri" w:cs="Calibri"/>
                <w:b/>
                <w:bCs/>
                <w:color w:val="000000"/>
                <w:sz w:val="18"/>
                <w:szCs w:val="18"/>
                <w:lang w:eastAsia="tr-TR"/>
              </w:rPr>
              <w:t>Saatlik Lot</w:t>
            </w:r>
          </w:p>
        </w:tc>
        <w:tc>
          <w:tcPr>
            <w:tcW w:w="1481"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393.151</w:t>
            </w:r>
          </w:p>
        </w:tc>
        <w:tc>
          <w:tcPr>
            <w:tcW w:w="1724"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196.575</w:t>
            </w:r>
          </w:p>
        </w:tc>
        <w:tc>
          <w:tcPr>
            <w:tcW w:w="1992"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19.658</w:t>
            </w:r>
          </w:p>
        </w:tc>
        <w:tc>
          <w:tcPr>
            <w:tcW w:w="1904"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58.973</w:t>
            </w:r>
          </w:p>
        </w:tc>
        <w:tc>
          <w:tcPr>
            <w:tcW w:w="1861" w:type="dxa"/>
            <w:tcBorders>
              <w:top w:val="nil"/>
              <w:left w:val="nil"/>
              <w:bottom w:val="single" w:sz="8" w:space="0" w:color="BDD6EE"/>
              <w:right w:val="single" w:sz="8" w:space="0" w:color="BDD6EE"/>
            </w:tcBorders>
            <w:shd w:val="clear" w:color="auto" w:fill="auto"/>
            <w:noWrap/>
            <w:vAlign w:val="center"/>
            <w:hideMark/>
          </w:tcPr>
          <w:p w:rsidR="0057037D" w:rsidRPr="0057037D" w:rsidRDefault="0057037D" w:rsidP="0057037D">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117.945</w:t>
            </w:r>
          </w:p>
        </w:tc>
      </w:tr>
    </w:tbl>
    <w:p w:rsidR="000B616B" w:rsidRPr="0098115D" w:rsidRDefault="00313215" w:rsidP="0098115D">
      <w:pPr>
        <w:pStyle w:val="Caption"/>
        <w:keepNext/>
        <w:jc w:val="center"/>
        <w:rPr>
          <w:rFonts w:cstheme="minorHAnsi"/>
          <w:sz w:val="16"/>
        </w:rPr>
      </w:pPr>
      <w:bookmarkStart w:id="6" w:name="_Toc85098558"/>
      <w:r w:rsidRPr="00313215">
        <w:rPr>
          <w:rFonts w:cstheme="minorHAnsi"/>
          <w:sz w:val="16"/>
        </w:rPr>
        <w:t xml:space="preserve">Tablo </w:t>
      </w:r>
      <w:r w:rsidR="00B56224">
        <w:rPr>
          <w:rFonts w:cstheme="minorHAnsi"/>
          <w:sz w:val="16"/>
        </w:rPr>
        <w:fldChar w:fldCharType="begin"/>
      </w:r>
      <w:r w:rsidR="00B56224">
        <w:rPr>
          <w:rFonts w:cstheme="minorHAnsi"/>
          <w:sz w:val="16"/>
        </w:rPr>
        <w:instrText xml:space="preserve"> SEQ Tablo \* ARABIC </w:instrText>
      </w:r>
      <w:r w:rsidR="00B56224">
        <w:rPr>
          <w:rFonts w:cstheme="minorHAnsi"/>
          <w:sz w:val="16"/>
        </w:rPr>
        <w:fldChar w:fldCharType="separate"/>
      </w:r>
      <w:r w:rsidR="00D12D06">
        <w:rPr>
          <w:rFonts w:cstheme="minorHAnsi"/>
          <w:noProof/>
          <w:sz w:val="16"/>
        </w:rPr>
        <w:t>3</w:t>
      </w:r>
      <w:r w:rsidR="00B56224">
        <w:rPr>
          <w:rFonts w:cstheme="minorHAnsi"/>
          <w:sz w:val="16"/>
        </w:rPr>
        <w:fldChar w:fldCharType="end"/>
      </w:r>
      <w:r w:rsidRPr="00313215">
        <w:rPr>
          <w:rFonts w:cstheme="minorHAnsi"/>
          <w:sz w:val="16"/>
        </w:rPr>
        <w:t xml:space="preserve"> Toplam Piyasa Limitlerinin Vade Tiplerine Paylaştırılması</w:t>
      </w:r>
      <w:bookmarkEnd w:id="6"/>
    </w:p>
    <w:p w:rsidR="000B616B" w:rsidRDefault="000B616B" w:rsidP="000B616B">
      <w:pPr>
        <w:pStyle w:val="Heading3"/>
        <w:numPr>
          <w:ilvl w:val="2"/>
          <w:numId w:val="6"/>
        </w:numPr>
        <w:rPr>
          <w:rFonts w:cstheme="majorHAnsi"/>
        </w:rPr>
      </w:pPr>
      <w:bookmarkStart w:id="7" w:name="_Toc85098593"/>
      <w:r>
        <w:rPr>
          <w:rFonts w:cstheme="majorHAnsi"/>
        </w:rPr>
        <w:t xml:space="preserve">Yıllık </w:t>
      </w:r>
      <w:r w:rsidRPr="00681675">
        <w:rPr>
          <w:rFonts w:cstheme="majorHAnsi"/>
        </w:rPr>
        <w:t>Kontratlar İçin Piyasa Pozisyon Limitlerini Hesaplanması</w:t>
      </w:r>
      <w:bookmarkEnd w:id="7"/>
    </w:p>
    <w:p w:rsidR="000B616B" w:rsidRPr="000B616B" w:rsidRDefault="000B616B" w:rsidP="000B616B">
      <w:pPr>
        <w:rPr>
          <w:lang w:eastAsia="tr-TR"/>
        </w:rPr>
      </w:pPr>
      <w:r>
        <w:rPr>
          <w:lang w:eastAsia="tr-TR"/>
        </w:rPr>
        <w:t>Toplam piyasa pozisyon limitlerinin %10 u yıl kontratları için piyasa pozisyon limiti olarak hesaplanır.</w:t>
      </w:r>
    </w:p>
    <w:tbl>
      <w:tblPr>
        <w:tblW w:w="9459" w:type="dxa"/>
        <w:tblCellMar>
          <w:left w:w="70" w:type="dxa"/>
          <w:right w:w="70" w:type="dxa"/>
        </w:tblCellMar>
        <w:tblLook w:val="04A0" w:firstRow="1" w:lastRow="0" w:firstColumn="1" w:lastColumn="0" w:noHBand="0" w:noVBand="1"/>
      </w:tblPr>
      <w:tblGrid>
        <w:gridCol w:w="3008"/>
        <w:gridCol w:w="2898"/>
        <w:gridCol w:w="3553"/>
      </w:tblGrid>
      <w:tr w:rsidR="000B616B" w:rsidRPr="00A76E9D" w:rsidTr="000B616B">
        <w:trPr>
          <w:trHeight w:val="220"/>
        </w:trPr>
        <w:tc>
          <w:tcPr>
            <w:tcW w:w="3008"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0B616B" w:rsidRPr="000B616B" w:rsidRDefault="000B616B" w:rsidP="000B616B">
            <w:pPr>
              <w:spacing w:after="0" w:line="240" w:lineRule="auto"/>
              <w:jc w:val="center"/>
              <w:rPr>
                <w:rFonts w:ascii="Calibri" w:eastAsia="Times New Roman" w:hAnsi="Calibri" w:cs="Calibri"/>
                <w:b/>
                <w:bCs/>
                <w:i/>
                <w:iCs/>
                <w:color w:val="000000"/>
                <w:sz w:val="18"/>
                <w:szCs w:val="18"/>
                <w:lang w:eastAsia="tr-TR"/>
              </w:rPr>
            </w:pPr>
            <w:r w:rsidRPr="0057037D">
              <w:rPr>
                <w:rFonts w:ascii="Calibri" w:eastAsia="Times New Roman" w:hAnsi="Calibri" w:cs="Calibri"/>
                <w:b/>
                <w:bCs/>
                <w:i/>
                <w:iCs/>
                <w:color w:val="000000"/>
                <w:sz w:val="18"/>
                <w:szCs w:val="18"/>
                <w:lang w:eastAsia="tr-TR"/>
              </w:rPr>
              <w:t>2021</w:t>
            </w:r>
          </w:p>
        </w:tc>
        <w:tc>
          <w:tcPr>
            <w:tcW w:w="2898"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0B616B" w:rsidRPr="00A76E9D" w:rsidRDefault="000B616B" w:rsidP="0098115D">
            <w:pPr>
              <w:spacing w:after="0" w:line="240" w:lineRule="auto"/>
              <w:jc w:val="center"/>
              <w:rPr>
                <w:rFonts w:ascii="Calibri" w:eastAsia="Times New Roman" w:hAnsi="Calibri" w:cs="Calibri"/>
                <w:i/>
                <w:iCs/>
                <w:color w:val="000000"/>
                <w:sz w:val="16"/>
                <w:szCs w:val="16"/>
                <w:lang w:eastAsia="tr-TR"/>
              </w:rPr>
            </w:pPr>
            <w:r w:rsidRPr="0057037D">
              <w:rPr>
                <w:rFonts w:ascii="Calibri" w:eastAsia="Times New Roman" w:hAnsi="Calibri" w:cs="Calibri"/>
                <w:b/>
                <w:bCs/>
                <w:i/>
                <w:iCs/>
                <w:color w:val="000000"/>
                <w:sz w:val="18"/>
                <w:szCs w:val="18"/>
                <w:lang w:eastAsia="tr-TR"/>
              </w:rPr>
              <w:t>Piyasa Pozisyon Limiti</w:t>
            </w:r>
          </w:p>
        </w:tc>
        <w:tc>
          <w:tcPr>
            <w:tcW w:w="3553"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0B616B" w:rsidRPr="00A76E9D" w:rsidRDefault="000B616B" w:rsidP="0098115D">
            <w:pPr>
              <w:spacing w:after="0" w:line="240" w:lineRule="auto"/>
              <w:jc w:val="center"/>
              <w:rPr>
                <w:rFonts w:ascii="Calibri" w:eastAsia="Times New Roman" w:hAnsi="Calibri" w:cs="Calibri"/>
                <w:b/>
                <w:bCs/>
                <w:i/>
                <w:iCs/>
                <w:color w:val="000000"/>
                <w:sz w:val="16"/>
                <w:szCs w:val="16"/>
                <w:lang w:eastAsia="tr-TR"/>
              </w:rPr>
            </w:pPr>
            <w:r w:rsidRPr="0057037D">
              <w:rPr>
                <w:rFonts w:ascii="Calibri" w:eastAsia="Times New Roman" w:hAnsi="Calibri" w:cs="Calibri"/>
                <w:b/>
                <w:bCs/>
                <w:i/>
                <w:iCs/>
                <w:color w:val="000000"/>
                <w:sz w:val="18"/>
                <w:szCs w:val="18"/>
                <w:lang w:eastAsia="tr-TR"/>
              </w:rPr>
              <w:t>Yıl Kontratı Piyasa Pozisyon Limiti</w:t>
            </w:r>
          </w:p>
        </w:tc>
      </w:tr>
      <w:tr w:rsidR="000B616B" w:rsidRPr="00A76E9D" w:rsidTr="000B616B">
        <w:trPr>
          <w:trHeight w:val="450"/>
        </w:trPr>
        <w:tc>
          <w:tcPr>
            <w:tcW w:w="3008"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0B616B" w:rsidRPr="00A76E9D" w:rsidRDefault="000B616B" w:rsidP="0098115D">
            <w:pPr>
              <w:spacing w:after="0" w:line="240" w:lineRule="auto"/>
              <w:rPr>
                <w:rFonts w:ascii="Calibri" w:eastAsia="Times New Roman" w:hAnsi="Calibri" w:cs="Calibri"/>
                <w:b/>
                <w:bCs/>
                <w:i/>
                <w:iCs/>
                <w:color w:val="000000"/>
                <w:sz w:val="16"/>
                <w:szCs w:val="16"/>
                <w:lang w:eastAsia="tr-TR"/>
              </w:rPr>
            </w:pPr>
          </w:p>
        </w:tc>
        <w:tc>
          <w:tcPr>
            <w:tcW w:w="2898"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0B616B" w:rsidRPr="00A76E9D" w:rsidRDefault="000B616B" w:rsidP="0098115D">
            <w:pPr>
              <w:spacing w:after="0" w:line="240" w:lineRule="auto"/>
              <w:rPr>
                <w:rFonts w:ascii="Calibri" w:eastAsia="Times New Roman" w:hAnsi="Calibri" w:cs="Calibri"/>
                <w:i/>
                <w:iCs/>
                <w:color w:val="000000"/>
                <w:sz w:val="16"/>
                <w:szCs w:val="16"/>
                <w:lang w:eastAsia="tr-TR"/>
              </w:rPr>
            </w:pPr>
          </w:p>
        </w:tc>
        <w:tc>
          <w:tcPr>
            <w:tcW w:w="3553"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0B616B" w:rsidRPr="00A76E9D" w:rsidRDefault="000B616B" w:rsidP="0098115D">
            <w:pPr>
              <w:spacing w:after="0" w:line="240" w:lineRule="auto"/>
              <w:rPr>
                <w:rFonts w:ascii="Calibri" w:eastAsia="Times New Roman" w:hAnsi="Calibri" w:cs="Calibri"/>
                <w:b/>
                <w:bCs/>
                <w:i/>
                <w:iCs/>
                <w:color w:val="000000"/>
                <w:sz w:val="16"/>
                <w:szCs w:val="16"/>
                <w:lang w:eastAsia="tr-TR"/>
              </w:rPr>
            </w:pPr>
          </w:p>
        </w:tc>
      </w:tr>
      <w:tr w:rsidR="000B616B" w:rsidRPr="00903079" w:rsidTr="0098115D">
        <w:trPr>
          <w:trHeight w:val="20"/>
        </w:trPr>
        <w:tc>
          <w:tcPr>
            <w:tcW w:w="3008" w:type="dxa"/>
            <w:tcBorders>
              <w:top w:val="nil"/>
              <w:left w:val="single" w:sz="8" w:space="0" w:color="BDD6EE"/>
              <w:bottom w:val="single" w:sz="8" w:space="0" w:color="BDD6EE"/>
              <w:right w:val="single" w:sz="8" w:space="0" w:color="BDD6EE"/>
            </w:tcBorders>
            <w:shd w:val="clear" w:color="auto" w:fill="auto"/>
            <w:noWrap/>
            <w:vAlign w:val="center"/>
            <w:hideMark/>
          </w:tcPr>
          <w:p w:rsidR="000B616B" w:rsidRPr="0057037D" w:rsidRDefault="000B616B" w:rsidP="000B616B">
            <w:pPr>
              <w:spacing w:after="0" w:line="240" w:lineRule="auto"/>
              <w:jc w:val="center"/>
              <w:rPr>
                <w:rFonts w:ascii="Calibri" w:eastAsia="Times New Roman" w:hAnsi="Calibri" w:cs="Calibri"/>
                <w:b/>
                <w:bCs/>
                <w:color w:val="000000"/>
                <w:sz w:val="18"/>
                <w:szCs w:val="18"/>
                <w:lang w:eastAsia="tr-TR"/>
              </w:rPr>
            </w:pPr>
            <w:r w:rsidRPr="0057037D">
              <w:rPr>
                <w:rFonts w:ascii="Calibri" w:eastAsia="Times New Roman" w:hAnsi="Calibri" w:cs="Calibri"/>
                <w:b/>
                <w:bCs/>
                <w:color w:val="000000"/>
                <w:sz w:val="18"/>
                <w:szCs w:val="18"/>
                <w:lang w:eastAsia="tr-TR"/>
              </w:rPr>
              <w:t>MWh</w:t>
            </w:r>
          </w:p>
        </w:tc>
        <w:tc>
          <w:tcPr>
            <w:tcW w:w="2898" w:type="dxa"/>
            <w:tcBorders>
              <w:top w:val="nil"/>
              <w:left w:val="nil"/>
              <w:bottom w:val="single" w:sz="8" w:space="0" w:color="BDD6EE"/>
              <w:right w:val="single" w:sz="8" w:space="0" w:color="BDD6EE"/>
            </w:tcBorders>
            <w:shd w:val="clear" w:color="auto" w:fill="auto"/>
            <w:noWrap/>
            <w:vAlign w:val="center"/>
          </w:tcPr>
          <w:p w:rsidR="000B616B" w:rsidRPr="0057037D" w:rsidRDefault="000B616B" w:rsidP="000B616B">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172.200.000</w:t>
            </w:r>
          </w:p>
        </w:tc>
        <w:tc>
          <w:tcPr>
            <w:tcW w:w="3553" w:type="dxa"/>
            <w:tcBorders>
              <w:top w:val="nil"/>
              <w:left w:val="nil"/>
              <w:bottom w:val="single" w:sz="8" w:space="0" w:color="BDD6EE"/>
              <w:right w:val="single" w:sz="8" w:space="0" w:color="BDD6EE"/>
            </w:tcBorders>
            <w:shd w:val="clear" w:color="auto" w:fill="auto"/>
            <w:noWrap/>
            <w:vAlign w:val="center"/>
          </w:tcPr>
          <w:p w:rsidR="000B616B" w:rsidRPr="0057037D" w:rsidRDefault="000B616B" w:rsidP="000B616B">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17.220.000</w:t>
            </w:r>
          </w:p>
        </w:tc>
      </w:tr>
      <w:tr w:rsidR="000B616B" w:rsidRPr="00903079" w:rsidTr="0098115D">
        <w:trPr>
          <w:trHeight w:val="20"/>
        </w:trPr>
        <w:tc>
          <w:tcPr>
            <w:tcW w:w="3008" w:type="dxa"/>
            <w:tcBorders>
              <w:top w:val="nil"/>
              <w:left w:val="single" w:sz="8" w:space="0" w:color="BDD6EE"/>
              <w:bottom w:val="single" w:sz="8" w:space="0" w:color="BDD6EE"/>
              <w:right w:val="single" w:sz="8" w:space="0" w:color="BDD6EE"/>
            </w:tcBorders>
            <w:shd w:val="clear" w:color="auto" w:fill="auto"/>
            <w:noWrap/>
            <w:vAlign w:val="center"/>
            <w:hideMark/>
          </w:tcPr>
          <w:p w:rsidR="000B616B" w:rsidRPr="0057037D" w:rsidRDefault="000B616B" w:rsidP="000B616B">
            <w:pPr>
              <w:spacing w:after="0" w:line="240" w:lineRule="auto"/>
              <w:jc w:val="center"/>
              <w:rPr>
                <w:rFonts w:ascii="Calibri" w:eastAsia="Times New Roman" w:hAnsi="Calibri" w:cs="Calibri"/>
                <w:b/>
                <w:bCs/>
                <w:color w:val="000000"/>
                <w:sz w:val="18"/>
                <w:szCs w:val="18"/>
                <w:lang w:eastAsia="tr-TR"/>
              </w:rPr>
            </w:pPr>
            <w:r w:rsidRPr="0057037D">
              <w:rPr>
                <w:rFonts w:ascii="Calibri" w:eastAsia="Times New Roman" w:hAnsi="Calibri" w:cs="Calibri"/>
                <w:b/>
                <w:bCs/>
                <w:color w:val="000000"/>
                <w:sz w:val="18"/>
                <w:szCs w:val="18"/>
                <w:lang w:eastAsia="tr-TR"/>
              </w:rPr>
              <w:t>MW</w:t>
            </w:r>
          </w:p>
        </w:tc>
        <w:tc>
          <w:tcPr>
            <w:tcW w:w="2898" w:type="dxa"/>
            <w:tcBorders>
              <w:top w:val="nil"/>
              <w:left w:val="nil"/>
              <w:bottom w:val="single" w:sz="8" w:space="0" w:color="BDD6EE"/>
              <w:right w:val="single" w:sz="8" w:space="0" w:color="BDD6EE"/>
            </w:tcBorders>
            <w:shd w:val="clear" w:color="auto" w:fill="auto"/>
            <w:noWrap/>
            <w:vAlign w:val="center"/>
          </w:tcPr>
          <w:p w:rsidR="000B616B" w:rsidRPr="0057037D" w:rsidRDefault="000B616B" w:rsidP="000B616B">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19.658</w:t>
            </w:r>
          </w:p>
        </w:tc>
        <w:tc>
          <w:tcPr>
            <w:tcW w:w="3553" w:type="dxa"/>
            <w:tcBorders>
              <w:top w:val="nil"/>
              <w:left w:val="nil"/>
              <w:bottom w:val="single" w:sz="8" w:space="0" w:color="BDD6EE"/>
              <w:right w:val="single" w:sz="8" w:space="0" w:color="BDD6EE"/>
            </w:tcBorders>
            <w:shd w:val="clear" w:color="auto" w:fill="auto"/>
            <w:noWrap/>
            <w:vAlign w:val="center"/>
          </w:tcPr>
          <w:p w:rsidR="000B616B" w:rsidRPr="0057037D" w:rsidRDefault="000B616B" w:rsidP="000B616B">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1.966</w:t>
            </w:r>
          </w:p>
        </w:tc>
      </w:tr>
      <w:tr w:rsidR="000B616B" w:rsidRPr="00903079" w:rsidTr="0098115D">
        <w:trPr>
          <w:trHeight w:val="20"/>
        </w:trPr>
        <w:tc>
          <w:tcPr>
            <w:tcW w:w="3008" w:type="dxa"/>
            <w:tcBorders>
              <w:top w:val="nil"/>
              <w:left w:val="single" w:sz="8" w:space="0" w:color="BDD6EE"/>
              <w:bottom w:val="single" w:sz="8" w:space="0" w:color="BDD6EE"/>
              <w:right w:val="single" w:sz="8" w:space="0" w:color="BDD6EE"/>
            </w:tcBorders>
            <w:shd w:val="clear" w:color="auto" w:fill="auto"/>
            <w:noWrap/>
            <w:vAlign w:val="center"/>
            <w:hideMark/>
          </w:tcPr>
          <w:p w:rsidR="000B616B" w:rsidRPr="0057037D" w:rsidRDefault="000B616B" w:rsidP="000B616B">
            <w:pPr>
              <w:spacing w:after="0" w:line="240" w:lineRule="auto"/>
              <w:jc w:val="center"/>
              <w:rPr>
                <w:rFonts w:ascii="Calibri" w:eastAsia="Times New Roman" w:hAnsi="Calibri" w:cs="Calibri"/>
                <w:b/>
                <w:bCs/>
                <w:color w:val="000000"/>
                <w:sz w:val="18"/>
                <w:szCs w:val="18"/>
                <w:lang w:eastAsia="tr-TR"/>
              </w:rPr>
            </w:pPr>
            <w:r w:rsidRPr="0057037D">
              <w:rPr>
                <w:rFonts w:ascii="Calibri" w:eastAsia="Times New Roman" w:hAnsi="Calibri" w:cs="Calibri"/>
                <w:b/>
                <w:bCs/>
                <w:color w:val="000000"/>
                <w:sz w:val="18"/>
                <w:szCs w:val="18"/>
                <w:lang w:eastAsia="tr-TR"/>
              </w:rPr>
              <w:t xml:space="preserve">Lot </w:t>
            </w:r>
          </w:p>
        </w:tc>
        <w:tc>
          <w:tcPr>
            <w:tcW w:w="2898" w:type="dxa"/>
            <w:tcBorders>
              <w:top w:val="nil"/>
              <w:left w:val="nil"/>
              <w:bottom w:val="single" w:sz="8" w:space="0" w:color="BDD6EE"/>
              <w:right w:val="single" w:sz="8" w:space="0" w:color="BDD6EE"/>
            </w:tcBorders>
            <w:shd w:val="clear" w:color="auto" w:fill="auto"/>
            <w:noWrap/>
            <w:vAlign w:val="center"/>
          </w:tcPr>
          <w:p w:rsidR="000B616B" w:rsidRPr="0057037D" w:rsidRDefault="000B616B" w:rsidP="000B616B">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1.722.000.000</w:t>
            </w:r>
          </w:p>
        </w:tc>
        <w:tc>
          <w:tcPr>
            <w:tcW w:w="3553" w:type="dxa"/>
            <w:tcBorders>
              <w:top w:val="nil"/>
              <w:left w:val="nil"/>
              <w:bottom w:val="single" w:sz="8" w:space="0" w:color="BDD6EE"/>
              <w:right w:val="single" w:sz="8" w:space="0" w:color="BDD6EE"/>
            </w:tcBorders>
            <w:shd w:val="clear" w:color="auto" w:fill="auto"/>
            <w:noWrap/>
            <w:vAlign w:val="center"/>
          </w:tcPr>
          <w:p w:rsidR="000B616B" w:rsidRPr="0057037D" w:rsidRDefault="000B616B" w:rsidP="000B616B">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172.200.000</w:t>
            </w:r>
          </w:p>
        </w:tc>
      </w:tr>
      <w:tr w:rsidR="000B616B" w:rsidRPr="00903079" w:rsidTr="0098115D">
        <w:trPr>
          <w:trHeight w:val="20"/>
        </w:trPr>
        <w:tc>
          <w:tcPr>
            <w:tcW w:w="3008" w:type="dxa"/>
            <w:tcBorders>
              <w:top w:val="nil"/>
              <w:left w:val="single" w:sz="8" w:space="0" w:color="BDD6EE"/>
              <w:bottom w:val="single" w:sz="8" w:space="0" w:color="BDD6EE"/>
              <w:right w:val="single" w:sz="8" w:space="0" w:color="BDD6EE"/>
            </w:tcBorders>
            <w:shd w:val="clear" w:color="auto" w:fill="auto"/>
            <w:noWrap/>
            <w:vAlign w:val="center"/>
            <w:hideMark/>
          </w:tcPr>
          <w:p w:rsidR="000B616B" w:rsidRPr="0057037D" w:rsidRDefault="000B616B" w:rsidP="000B616B">
            <w:pPr>
              <w:spacing w:after="0" w:line="240" w:lineRule="auto"/>
              <w:jc w:val="center"/>
              <w:rPr>
                <w:rFonts w:ascii="Calibri" w:eastAsia="Times New Roman" w:hAnsi="Calibri" w:cs="Calibri"/>
                <w:b/>
                <w:bCs/>
                <w:color w:val="000000"/>
                <w:sz w:val="18"/>
                <w:szCs w:val="18"/>
                <w:lang w:eastAsia="tr-TR"/>
              </w:rPr>
            </w:pPr>
            <w:r w:rsidRPr="0057037D">
              <w:rPr>
                <w:rFonts w:ascii="Calibri" w:eastAsia="Times New Roman" w:hAnsi="Calibri" w:cs="Calibri"/>
                <w:b/>
                <w:bCs/>
                <w:color w:val="000000"/>
                <w:sz w:val="18"/>
                <w:szCs w:val="18"/>
                <w:lang w:eastAsia="tr-TR"/>
              </w:rPr>
              <w:t>Saatlik Lot</w:t>
            </w:r>
          </w:p>
        </w:tc>
        <w:tc>
          <w:tcPr>
            <w:tcW w:w="2898" w:type="dxa"/>
            <w:tcBorders>
              <w:top w:val="nil"/>
              <w:left w:val="nil"/>
              <w:bottom w:val="single" w:sz="8" w:space="0" w:color="BDD6EE"/>
              <w:right w:val="single" w:sz="8" w:space="0" w:color="BDD6EE"/>
            </w:tcBorders>
            <w:shd w:val="clear" w:color="auto" w:fill="auto"/>
            <w:noWrap/>
            <w:vAlign w:val="center"/>
          </w:tcPr>
          <w:p w:rsidR="000B616B" w:rsidRPr="0057037D" w:rsidRDefault="000B616B" w:rsidP="000B616B">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196.575</w:t>
            </w:r>
          </w:p>
        </w:tc>
        <w:tc>
          <w:tcPr>
            <w:tcW w:w="3553" w:type="dxa"/>
            <w:tcBorders>
              <w:top w:val="nil"/>
              <w:left w:val="nil"/>
              <w:bottom w:val="single" w:sz="8" w:space="0" w:color="BDD6EE"/>
              <w:right w:val="single" w:sz="8" w:space="0" w:color="BDD6EE"/>
            </w:tcBorders>
            <w:shd w:val="clear" w:color="auto" w:fill="auto"/>
            <w:noWrap/>
            <w:vAlign w:val="center"/>
          </w:tcPr>
          <w:p w:rsidR="000B616B" w:rsidRPr="0057037D" w:rsidRDefault="000B616B" w:rsidP="000B616B">
            <w:pPr>
              <w:spacing w:after="0" w:line="240" w:lineRule="auto"/>
              <w:jc w:val="center"/>
              <w:rPr>
                <w:rFonts w:ascii="Calibri" w:eastAsia="Times New Roman" w:hAnsi="Calibri" w:cs="Calibri"/>
                <w:color w:val="000000"/>
                <w:sz w:val="18"/>
                <w:szCs w:val="18"/>
                <w:lang w:eastAsia="tr-TR"/>
              </w:rPr>
            </w:pPr>
            <w:r w:rsidRPr="0057037D">
              <w:rPr>
                <w:rFonts w:ascii="Calibri" w:eastAsia="Times New Roman" w:hAnsi="Calibri" w:cs="Calibri"/>
                <w:color w:val="000000"/>
                <w:sz w:val="18"/>
                <w:szCs w:val="18"/>
                <w:lang w:eastAsia="tr-TR"/>
              </w:rPr>
              <w:t>19.658</w:t>
            </w:r>
          </w:p>
        </w:tc>
      </w:tr>
    </w:tbl>
    <w:p w:rsidR="000B616B" w:rsidRPr="000B616B" w:rsidRDefault="000B616B" w:rsidP="000B616B">
      <w:pPr>
        <w:pStyle w:val="Caption"/>
        <w:jc w:val="center"/>
        <w:rPr>
          <w:rFonts w:cstheme="minorHAnsi"/>
          <w:sz w:val="16"/>
        </w:rPr>
      </w:pPr>
      <w:bookmarkStart w:id="8" w:name="_Toc85098559"/>
      <w:r w:rsidRPr="005562FC">
        <w:rPr>
          <w:rFonts w:cstheme="minorHAnsi"/>
          <w:sz w:val="16"/>
        </w:rPr>
        <w:t xml:space="preserve">Tablo </w:t>
      </w:r>
      <w:r w:rsidRPr="005562FC">
        <w:rPr>
          <w:rFonts w:cstheme="minorHAnsi"/>
          <w:sz w:val="16"/>
        </w:rPr>
        <w:fldChar w:fldCharType="begin"/>
      </w:r>
      <w:r w:rsidRPr="005562FC">
        <w:rPr>
          <w:rFonts w:cstheme="minorHAnsi"/>
          <w:sz w:val="16"/>
        </w:rPr>
        <w:instrText xml:space="preserve"> SEQ Tablo \* ARABIC </w:instrText>
      </w:r>
      <w:r w:rsidRPr="005562FC">
        <w:rPr>
          <w:rFonts w:cstheme="minorHAnsi"/>
          <w:sz w:val="16"/>
        </w:rPr>
        <w:fldChar w:fldCharType="separate"/>
      </w:r>
      <w:r w:rsidR="00D12D06">
        <w:rPr>
          <w:rFonts w:cstheme="minorHAnsi"/>
          <w:noProof/>
          <w:sz w:val="16"/>
        </w:rPr>
        <w:t>4</w:t>
      </w:r>
      <w:r w:rsidRPr="005562FC">
        <w:rPr>
          <w:rFonts w:cstheme="minorHAnsi"/>
          <w:sz w:val="16"/>
        </w:rPr>
        <w:fldChar w:fldCharType="end"/>
      </w:r>
      <w:r w:rsidRPr="005562FC">
        <w:rPr>
          <w:rFonts w:cstheme="minorHAnsi"/>
          <w:sz w:val="16"/>
        </w:rPr>
        <w:t xml:space="preserve"> Yıllık Kontratlar İçin Piyasa Pozisyon Limitleri</w:t>
      </w:r>
      <w:bookmarkEnd w:id="8"/>
    </w:p>
    <w:p w:rsidR="00313215" w:rsidRPr="00313215" w:rsidRDefault="00313215" w:rsidP="00313215">
      <w:pPr>
        <w:pStyle w:val="Heading3"/>
        <w:rPr>
          <w:rFonts w:cstheme="majorHAnsi"/>
        </w:rPr>
      </w:pPr>
      <w:bookmarkStart w:id="9" w:name="_Toc85098594"/>
      <w:r w:rsidRPr="00313215">
        <w:rPr>
          <w:rFonts w:cstheme="majorHAnsi"/>
        </w:rPr>
        <w:lastRenderedPageBreak/>
        <w:t>Çeyreklik ve Aylık Tüketim Oranlarının Belirlenmesi</w:t>
      </w:r>
      <w:bookmarkEnd w:id="9"/>
      <w:r w:rsidRPr="00313215">
        <w:rPr>
          <w:rFonts w:cstheme="majorHAnsi"/>
        </w:rPr>
        <w:t xml:space="preserve"> </w:t>
      </w:r>
    </w:p>
    <w:p w:rsidR="0082481D" w:rsidRDefault="00313215" w:rsidP="000B616B">
      <w:pPr>
        <w:ind w:firstLine="708"/>
        <w:jc w:val="both"/>
        <w:rPr>
          <w:rFonts w:cstheme="minorHAnsi"/>
        </w:rPr>
      </w:pPr>
      <w:r w:rsidRPr="00313215">
        <w:rPr>
          <w:rFonts w:cstheme="minorHAnsi"/>
        </w:rPr>
        <w:t>Kontratların teslimat dönemi bazında piyasa pozisyon limitleri bir önceki yılın uzlaştırmaya esas çekiş miktarları dikkate alınarak her ay ve çeyrek için ayrı ayrı hesaplanır. Her ay ve çeyrek de uzlaştırmaya esas çekiş miktarının toplam yıllık uzlaştırmaya esas çekiş miktarına oranlanması ile çeyreklik ve aylık tüketim oranları beli</w:t>
      </w:r>
      <w:r w:rsidR="00B85081">
        <w:rPr>
          <w:rFonts w:cstheme="minorHAnsi"/>
        </w:rPr>
        <w:t>rlenir. Belirlenen bu oranlar da</w:t>
      </w:r>
      <w:r w:rsidRPr="00313215">
        <w:rPr>
          <w:rFonts w:cstheme="minorHAnsi"/>
        </w:rPr>
        <w:t>hilinde yük karakteristiğine uygun bir şekilde teslimat dönemlerine ait piyasa pozisyon limitleri belirlenir.</w:t>
      </w:r>
      <w:r w:rsidR="00180A34">
        <w:rPr>
          <w:rFonts w:cstheme="minorHAnsi"/>
        </w:rPr>
        <w:t xml:space="preserve"> (2020</w:t>
      </w:r>
      <w:r w:rsidR="00B85081">
        <w:rPr>
          <w:rFonts w:cstheme="minorHAnsi"/>
        </w:rPr>
        <w:t xml:space="preserve"> yılına ait UEÇM değerleri kullanılmıştır.)</w:t>
      </w:r>
    </w:p>
    <w:tbl>
      <w:tblPr>
        <w:tblW w:w="9009" w:type="dxa"/>
        <w:tblInd w:w="-10" w:type="dxa"/>
        <w:tblCellMar>
          <w:left w:w="70" w:type="dxa"/>
          <w:right w:w="70" w:type="dxa"/>
        </w:tblCellMar>
        <w:tblLook w:val="04A0" w:firstRow="1" w:lastRow="0" w:firstColumn="1" w:lastColumn="0" w:noHBand="0" w:noVBand="1"/>
      </w:tblPr>
      <w:tblGrid>
        <w:gridCol w:w="1075"/>
        <w:gridCol w:w="1107"/>
        <w:gridCol w:w="3371"/>
        <w:gridCol w:w="1757"/>
        <w:gridCol w:w="1699"/>
      </w:tblGrid>
      <w:tr w:rsidR="00247A2C" w:rsidRPr="00247A2C" w:rsidTr="000532DB">
        <w:trPr>
          <w:trHeight w:val="213"/>
        </w:trPr>
        <w:tc>
          <w:tcPr>
            <w:tcW w:w="1075" w:type="dxa"/>
            <w:tcBorders>
              <w:top w:val="single" w:sz="8" w:space="0" w:color="BDD6EE"/>
              <w:left w:val="single" w:sz="8" w:space="0" w:color="BDD6EE"/>
              <w:bottom w:val="single" w:sz="12" w:space="0" w:color="9CC2E5"/>
              <w:right w:val="single" w:sz="8" w:space="0" w:color="BDD6EE"/>
            </w:tcBorders>
            <w:shd w:val="clear" w:color="000000" w:fill="DEEAF6"/>
            <w:noWrap/>
            <w:vAlign w:val="center"/>
            <w:hideMark/>
          </w:tcPr>
          <w:p w:rsidR="00247A2C" w:rsidRPr="00247A2C" w:rsidRDefault="00247A2C" w:rsidP="00247A2C">
            <w:pPr>
              <w:spacing w:after="0" w:line="240" w:lineRule="auto"/>
              <w:jc w:val="center"/>
              <w:rPr>
                <w:rFonts w:ascii="Calibri" w:eastAsia="Times New Roman" w:hAnsi="Calibri" w:cs="Calibri"/>
                <w:b/>
                <w:bCs/>
                <w:i/>
                <w:iCs/>
                <w:color w:val="000000"/>
                <w:sz w:val="18"/>
                <w:szCs w:val="18"/>
                <w:lang w:eastAsia="tr-TR"/>
              </w:rPr>
            </w:pPr>
            <w:r w:rsidRPr="00247A2C">
              <w:rPr>
                <w:rFonts w:ascii="Calibri" w:eastAsia="Times New Roman" w:hAnsi="Calibri" w:cs="Calibri"/>
                <w:b/>
                <w:bCs/>
                <w:i/>
                <w:iCs/>
                <w:color w:val="000000"/>
                <w:sz w:val="18"/>
                <w:szCs w:val="18"/>
                <w:lang w:eastAsia="tr-TR"/>
              </w:rPr>
              <w:t>Çeyrek</w:t>
            </w:r>
          </w:p>
        </w:tc>
        <w:tc>
          <w:tcPr>
            <w:tcW w:w="1107" w:type="dxa"/>
            <w:tcBorders>
              <w:top w:val="single" w:sz="8" w:space="0" w:color="BDD6EE"/>
              <w:left w:val="nil"/>
              <w:bottom w:val="single" w:sz="12" w:space="0" w:color="9CC2E5"/>
              <w:right w:val="single" w:sz="8" w:space="0" w:color="BDD6EE"/>
            </w:tcBorders>
            <w:shd w:val="clear" w:color="000000" w:fill="DEEAF6"/>
            <w:noWrap/>
            <w:vAlign w:val="center"/>
            <w:hideMark/>
          </w:tcPr>
          <w:p w:rsidR="00247A2C" w:rsidRPr="00247A2C" w:rsidRDefault="00247A2C" w:rsidP="00247A2C">
            <w:pPr>
              <w:spacing w:after="0" w:line="240" w:lineRule="auto"/>
              <w:jc w:val="center"/>
              <w:rPr>
                <w:rFonts w:ascii="Calibri" w:eastAsia="Times New Roman" w:hAnsi="Calibri" w:cs="Calibri"/>
                <w:b/>
                <w:bCs/>
                <w:i/>
                <w:iCs/>
                <w:color w:val="000000"/>
                <w:sz w:val="18"/>
                <w:szCs w:val="18"/>
                <w:lang w:eastAsia="tr-TR"/>
              </w:rPr>
            </w:pPr>
            <w:r w:rsidRPr="00247A2C">
              <w:rPr>
                <w:rFonts w:ascii="Calibri" w:eastAsia="Times New Roman" w:hAnsi="Calibri" w:cs="Calibri"/>
                <w:b/>
                <w:bCs/>
                <w:i/>
                <w:iCs/>
                <w:color w:val="000000"/>
                <w:sz w:val="18"/>
                <w:szCs w:val="18"/>
                <w:lang w:eastAsia="tr-TR"/>
              </w:rPr>
              <w:t>Ay</w:t>
            </w:r>
          </w:p>
        </w:tc>
        <w:tc>
          <w:tcPr>
            <w:tcW w:w="3371" w:type="dxa"/>
            <w:tcBorders>
              <w:top w:val="single" w:sz="8" w:space="0" w:color="BDD6EE"/>
              <w:left w:val="nil"/>
              <w:bottom w:val="single" w:sz="12" w:space="0" w:color="9CC2E5"/>
              <w:right w:val="single" w:sz="8" w:space="0" w:color="BDD6EE"/>
            </w:tcBorders>
            <w:shd w:val="clear" w:color="000000" w:fill="DEEAF6"/>
            <w:vAlign w:val="center"/>
            <w:hideMark/>
          </w:tcPr>
          <w:p w:rsidR="00247A2C" w:rsidRPr="00247A2C" w:rsidRDefault="00247A2C" w:rsidP="00247A2C">
            <w:pPr>
              <w:spacing w:after="0" w:line="240" w:lineRule="auto"/>
              <w:jc w:val="center"/>
              <w:rPr>
                <w:rFonts w:ascii="Calibri" w:eastAsia="Times New Roman" w:hAnsi="Calibri" w:cs="Calibri"/>
                <w:b/>
                <w:bCs/>
                <w:i/>
                <w:iCs/>
                <w:color w:val="000000"/>
                <w:sz w:val="18"/>
                <w:szCs w:val="18"/>
                <w:lang w:eastAsia="tr-TR"/>
              </w:rPr>
            </w:pPr>
            <w:r w:rsidRPr="00247A2C">
              <w:rPr>
                <w:rFonts w:ascii="Calibri" w:eastAsia="Times New Roman" w:hAnsi="Calibri" w:cs="Calibri"/>
                <w:b/>
                <w:bCs/>
                <w:i/>
                <w:iCs/>
                <w:color w:val="000000"/>
                <w:sz w:val="18"/>
                <w:szCs w:val="18"/>
                <w:lang w:eastAsia="tr-TR"/>
              </w:rPr>
              <w:t>Toplam Uzlaştırmaya Esas Çekiş Miktarı (UEÇM) (MWh)</w:t>
            </w:r>
          </w:p>
        </w:tc>
        <w:tc>
          <w:tcPr>
            <w:tcW w:w="1757" w:type="dxa"/>
            <w:tcBorders>
              <w:top w:val="single" w:sz="8" w:space="0" w:color="BDD6EE"/>
              <w:left w:val="nil"/>
              <w:bottom w:val="single" w:sz="12" w:space="0" w:color="9CC2E5"/>
              <w:right w:val="single" w:sz="8" w:space="0" w:color="BDD6EE"/>
            </w:tcBorders>
            <w:shd w:val="clear" w:color="000000" w:fill="DEEAF6"/>
            <w:vAlign w:val="center"/>
            <w:hideMark/>
          </w:tcPr>
          <w:p w:rsidR="00247A2C" w:rsidRPr="00247A2C" w:rsidRDefault="00247A2C" w:rsidP="00247A2C">
            <w:pPr>
              <w:spacing w:after="0" w:line="240" w:lineRule="auto"/>
              <w:jc w:val="center"/>
              <w:rPr>
                <w:rFonts w:ascii="Calibri" w:eastAsia="Times New Roman" w:hAnsi="Calibri" w:cs="Calibri"/>
                <w:b/>
                <w:bCs/>
                <w:i/>
                <w:iCs/>
                <w:color w:val="000000"/>
                <w:sz w:val="18"/>
                <w:szCs w:val="18"/>
                <w:lang w:eastAsia="tr-TR"/>
              </w:rPr>
            </w:pPr>
            <w:r w:rsidRPr="00247A2C">
              <w:rPr>
                <w:rFonts w:ascii="Calibri" w:eastAsia="Times New Roman" w:hAnsi="Calibri" w:cs="Calibri"/>
                <w:b/>
                <w:bCs/>
                <w:i/>
                <w:iCs/>
                <w:color w:val="000000"/>
                <w:sz w:val="18"/>
                <w:szCs w:val="18"/>
                <w:lang w:eastAsia="tr-TR"/>
              </w:rPr>
              <w:t>Çeyreklik Tüketim Oranı</w:t>
            </w:r>
          </w:p>
        </w:tc>
        <w:tc>
          <w:tcPr>
            <w:tcW w:w="1699" w:type="dxa"/>
            <w:tcBorders>
              <w:top w:val="single" w:sz="8" w:space="0" w:color="BDD6EE"/>
              <w:left w:val="nil"/>
              <w:bottom w:val="single" w:sz="12" w:space="0" w:color="9CC2E5"/>
              <w:right w:val="single" w:sz="8" w:space="0" w:color="BDD6EE"/>
            </w:tcBorders>
            <w:shd w:val="clear" w:color="000000" w:fill="DEEAF6"/>
            <w:vAlign w:val="center"/>
            <w:hideMark/>
          </w:tcPr>
          <w:p w:rsidR="00247A2C" w:rsidRPr="00247A2C" w:rsidRDefault="00247A2C" w:rsidP="00247A2C">
            <w:pPr>
              <w:spacing w:after="0" w:line="240" w:lineRule="auto"/>
              <w:jc w:val="center"/>
              <w:rPr>
                <w:rFonts w:ascii="Calibri" w:eastAsia="Times New Roman" w:hAnsi="Calibri" w:cs="Calibri"/>
                <w:b/>
                <w:bCs/>
                <w:i/>
                <w:iCs/>
                <w:color w:val="000000"/>
                <w:sz w:val="18"/>
                <w:szCs w:val="18"/>
                <w:lang w:eastAsia="tr-TR"/>
              </w:rPr>
            </w:pPr>
            <w:r w:rsidRPr="00247A2C">
              <w:rPr>
                <w:rFonts w:ascii="Calibri" w:eastAsia="Times New Roman" w:hAnsi="Calibri" w:cs="Calibri"/>
                <w:b/>
                <w:bCs/>
                <w:i/>
                <w:iCs/>
                <w:color w:val="000000"/>
                <w:sz w:val="18"/>
                <w:szCs w:val="18"/>
                <w:lang w:eastAsia="tr-TR"/>
              </w:rPr>
              <w:t>Aylık Tüketim Oranı</w:t>
            </w:r>
          </w:p>
        </w:tc>
      </w:tr>
      <w:tr w:rsidR="00247A2C" w:rsidRPr="00247A2C" w:rsidTr="000532DB">
        <w:trPr>
          <w:trHeight w:val="119"/>
        </w:trPr>
        <w:tc>
          <w:tcPr>
            <w:tcW w:w="1075" w:type="dxa"/>
            <w:vMerge w:val="restart"/>
            <w:tcBorders>
              <w:top w:val="nil"/>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Çeyrek 1</w:t>
            </w: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Ocak</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24.973.949</w:t>
            </w:r>
          </w:p>
        </w:tc>
        <w:tc>
          <w:tcPr>
            <w:tcW w:w="1757" w:type="dxa"/>
            <w:vMerge w:val="restart"/>
            <w:tcBorders>
              <w:top w:val="nil"/>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25,23%</w:t>
            </w: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8,84%</w:t>
            </w:r>
          </w:p>
        </w:tc>
      </w:tr>
      <w:tr w:rsidR="00247A2C" w:rsidRPr="00247A2C" w:rsidTr="000532DB">
        <w:trPr>
          <w:trHeight w:val="114"/>
        </w:trPr>
        <w:tc>
          <w:tcPr>
            <w:tcW w:w="1075"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b/>
                <w:bCs/>
                <w:color w:val="000000"/>
                <w:sz w:val="18"/>
                <w:szCs w:val="18"/>
                <w:lang w:eastAsia="tr-TR"/>
              </w:rPr>
            </w:pP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Şubat</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23.290.561</w:t>
            </w:r>
          </w:p>
        </w:tc>
        <w:tc>
          <w:tcPr>
            <w:tcW w:w="1757"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color w:val="000000"/>
                <w:sz w:val="18"/>
                <w:szCs w:val="18"/>
                <w:lang w:eastAsia="tr-TR"/>
              </w:rPr>
            </w:pP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8,25%</w:t>
            </w:r>
          </w:p>
        </w:tc>
      </w:tr>
      <w:tr w:rsidR="00247A2C" w:rsidRPr="00247A2C" w:rsidTr="000532DB">
        <w:trPr>
          <w:trHeight w:val="114"/>
        </w:trPr>
        <w:tc>
          <w:tcPr>
            <w:tcW w:w="1075"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b/>
                <w:bCs/>
                <w:color w:val="000000"/>
                <w:sz w:val="18"/>
                <w:szCs w:val="18"/>
                <w:lang w:eastAsia="tr-TR"/>
              </w:rPr>
            </w:pP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Mart</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22.984.307</w:t>
            </w:r>
          </w:p>
        </w:tc>
        <w:tc>
          <w:tcPr>
            <w:tcW w:w="1757"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color w:val="000000"/>
                <w:sz w:val="18"/>
                <w:szCs w:val="18"/>
                <w:lang w:eastAsia="tr-TR"/>
              </w:rPr>
            </w:pP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8,14%</w:t>
            </w:r>
          </w:p>
        </w:tc>
      </w:tr>
      <w:tr w:rsidR="00247A2C" w:rsidRPr="00247A2C" w:rsidTr="000532DB">
        <w:trPr>
          <w:trHeight w:val="114"/>
        </w:trPr>
        <w:tc>
          <w:tcPr>
            <w:tcW w:w="1075" w:type="dxa"/>
            <w:vMerge w:val="restart"/>
            <w:tcBorders>
              <w:top w:val="nil"/>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Çeyrek 2</w:t>
            </w: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Nisan</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19.083.906</w:t>
            </w:r>
          </w:p>
        </w:tc>
        <w:tc>
          <w:tcPr>
            <w:tcW w:w="1757" w:type="dxa"/>
            <w:vMerge w:val="restart"/>
            <w:tcBorders>
              <w:top w:val="nil"/>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21,44%</w:t>
            </w: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6,76%</w:t>
            </w:r>
          </w:p>
        </w:tc>
      </w:tr>
      <w:tr w:rsidR="00247A2C" w:rsidRPr="00247A2C" w:rsidTr="000532DB">
        <w:trPr>
          <w:trHeight w:val="114"/>
        </w:trPr>
        <w:tc>
          <w:tcPr>
            <w:tcW w:w="1075"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b/>
                <w:bCs/>
                <w:color w:val="000000"/>
                <w:sz w:val="18"/>
                <w:szCs w:val="18"/>
                <w:lang w:eastAsia="tr-TR"/>
              </w:rPr>
            </w:pP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Mayıs</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19.426.867</w:t>
            </w:r>
          </w:p>
        </w:tc>
        <w:tc>
          <w:tcPr>
            <w:tcW w:w="1757"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color w:val="000000"/>
                <w:sz w:val="18"/>
                <w:szCs w:val="18"/>
                <w:lang w:eastAsia="tr-TR"/>
              </w:rPr>
            </w:pP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6,88%</w:t>
            </w:r>
          </w:p>
        </w:tc>
      </w:tr>
      <w:tr w:rsidR="00247A2C" w:rsidRPr="00247A2C" w:rsidTr="000532DB">
        <w:trPr>
          <w:trHeight w:val="114"/>
        </w:trPr>
        <w:tc>
          <w:tcPr>
            <w:tcW w:w="1075"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b/>
                <w:bCs/>
                <w:color w:val="000000"/>
                <w:sz w:val="18"/>
                <w:szCs w:val="18"/>
                <w:lang w:eastAsia="tr-TR"/>
              </w:rPr>
            </w:pP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Haziran</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22.034.978</w:t>
            </w:r>
          </w:p>
        </w:tc>
        <w:tc>
          <w:tcPr>
            <w:tcW w:w="1757"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color w:val="000000"/>
                <w:sz w:val="18"/>
                <w:szCs w:val="18"/>
                <w:lang w:eastAsia="tr-TR"/>
              </w:rPr>
            </w:pP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7,80%</w:t>
            </w:r>
          </w:p>
        </w:tc>
      </w:tr>
      <w:tr w:rsidR="00247A2C" w:rsidRPr="00247A2C" w:rsidTr="000532DB">
        <w:trPr>
          <w:trHeight w:val="114"/>
        </w:trPr>
        <w:tc>
          <w:tcPr>
            <w:tcW w:w="1075" w:type="dxa"/>
            <w:vMerge w:val="restart"/>
            <w:tcBorders>
              <w:top w:val="nil"/>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Çeyrek 3</w:t>
            </w: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Temmuz</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26.421.966</w:t>
            </w:r>
          </w:p>
        </w:tc>
        <w:tc>
          <w:tcPr>
            <w:tcW w:w="1757" w:type="dxa"/>
            <w:vMerge w:val="restart"/>
            <w:tcBorders>
              <w:top w:val="nil"/>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27,91%</w:t>
            </w: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9,35%</w:t>
            </w:r>
          </w:p>
        </w:tc>
      </w:tr>
      <w:tr w:rsidR="00247A2C" w:rsidRPr="00247A2C" w:rsidTr="000532DB">
        <w:trPr>
          <w:trHeight w:val="114"/>
        </w:trPr>
        <w:tc>
          <w:tcPr>
            <w:tcW w:w="1075"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b/>
                <w:bCs/>
                <w:color w:val="000000"/>
                <w:sz w:val="18"/>
                <w:szCs w:val="18"/>
                <w:lang w:eastAsia="tr-TR"/>
              </w:rPr>
            </w:pP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Ağustos</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26.837.363</w:t>
            </w:r>
          </w:p>
        </w:tc>
        <w:tc>
          <w:tcPr>
            <w:tcW w:w="1757"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color w:val="000000"/>
                <w:sz w:val="18"/>
                <w:szCs w:val="18"/>
                <w:lang w:eastAsia="tr-TR"/>
              </w:rPr>
            </w:pP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9,50%</w:t>
            </w:r>
          </w:p>
        </w:tc>
      </w:tr>
      <w:tr w:rsidR="00247A2C" w:rsidRPr="00247A2C" w:rsidTr="000532DB">
        <w:trPr>
          <w:trHeight w:val="114"/>
        </w:trPr>
        <w:tc>
          <w:tcPr>
            <w:tcW w:w="1075"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b/>
                <w:bCs/>
                <w:color w:val="000000"/>
                <w:sz w:val="18"/>
                <w:szCs w:val="18"/>
                <w:lang w:eastAsia="tr-TR"/>
              </w:rPr>
            </w:pP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Eylül</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25.571.309</w:t>
            </w:r>
          </w:p>
        </w:tc>
        <w:tc>
          <w:tcPr>
            <w:tcW w:w="1757"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color w:val="000000"/>
                <w:sz w:val="18"/>
                <w:szCs w:val="18"/>
                <w:lang w:eastAsia="tr-TR"/>
              </w:rPr>
            </w:pP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9,05%</w:t>
            </w:r>
          </w:p>
        </w:tc>
      </w:tr>
      <w:tr w:rsidR="00247A2C" w:rsidRPr="00247A2C" w:rsidTr="000532DB">
        <w:trPr>
          <w:trHeight w:val="114"/>
        </w:trPr>
        <w:tc>
          <w:tcPr>
            <w:tcW w:w="1075" w:type="dxa"/>
            <w:vMerge w:val="restart"/>
            <w:tcBorders>
              <w:top w:val="nil"/>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Çeyrek 4</w:t>
            </w: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Ekim</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23.231.466</w:t>
            </w:r>
          </w:p>
        </w:tc>
        <w:tc>
          <w:tcPr>
            <w:tcW w:w="1757" w:type="dxa"/>
            <w:vMerge w:val="restart"/>
            <w:tcBorders>
              <w:top w:val="nil"/>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25,43%</w:t>
            </w: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8,23%</w:t>
            </w:r>
          </w:p>
        </w:tc>
      </w:tr>
      <w:tr w:rsidR="00247A2C" w:rsidRPr="00247A2C" w:rsidTr="000532DB">
        <w:trPr>
          <w:trHeight w:val="114"/>
        </w:trPr>
        <w:tc>
          <w:tcPr>
            <w:tcW w:w="1075"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b/>
                <w:bCs/>
                <w:color w:val="000000"/>
                <w:sz w:val="18"/>
                <w:szCs w:val="18"/>
                <w:lang w:eastAsia="tr-TR"/>
              </w:rPr>
            </w:pP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Kasım</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23.489.637</w:t>
            </w:r>
          </w:p>
        </w:tc>
        <w:tc>
          <w:tcPr>
            <w:tcW w:w="1757"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color w:val="000000"/>
                <w:sz w:val="18"/>
                <w:szCs w:val="18"/>
                <w:lang w:eastAsia="tr-TR"/>
              </w:rPr>
            </w:pP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8,32%</w:t>
            </w:r>
          </w:p>
        </w:tc>
      </w:tr>
      <w:tr w:rsidR="00247A2C" w:rsidRPr="00247A2C" w:rsidTr="000532DB">
        <w:trPr>
          <w:trHeight w:val="114"/>
        </w:trPr>
        <w:tc>
          <w:tcPr>
            <w:tcW w:w="1075"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b/>
                <w:bCs/>
                <w:color w:val="000000"/>
                <w:sz w:val="18"/>
                <w:szCs w:val="18"/>
                <w:lang w:eastAsia="tr-TR"/>
              </w:rPr>
            </w:pPr>
          </w:p>
        </w:tc>
        <w:tc>
          <w:tcPr>
            <w:tcW w:w="110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Aralık</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25.101.805</w:t>
            </w:r>
          </w:p>
        </w:tc>
        <w:tc>
          <w:tcPr>
            <w:tcW w:w="1757" w:type="dxa"/>
            <w:vMerge/>
            <w:tcBorders>
              <w:top w:val="nil"/>
              <w:left w:val="single" w:sz="8" w:space="0" w:color="BDD6EE"/>
              <w:bottom w:val="single" w:sz="8" w:space="0" w:color="BDD6EE"/>
              <w:right w:val="single" w:sz="8" w:space="0" w:color="BDD6EE"/>
            </w:tcBorders>
            <w:vAlign w:val="center"/>
            <w:hideMark/>
          </w:tcPr>
          <w:p w:rsidR="00247A2C" w:rsidRPr="00247A2C" w:rsidRDefault="00247A2C" w:rsidP="00247A2C">
            <w:pPr>
              <w:spacing w:after="0" w:line="240" w:lineRule="auto"/>
              <w:rPr>
                <w:rFonts w:ascii="Calibri" w:eastAsia="Times New Roman" w:hAnsi="Calibri" w:cs="Calibri"/>
                <w:color w:val="000000"/>
                <w:sz w:val="18"/>
                <w:szCs w:val="18"/>
                <w:lang w:eastAsia="tr-TR"/>
              </w:rPr>
            </w:pP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8,89%</w:t>
            </w:r>
          </w:p>
        </w:tc>
      </w:tr>
      <w:tr w:rsidR="00247A2C" w:rsidRPr="00247A2C" w:rsidTr="000532DB">
        <w:trPr>
          <w:trHeight w:val="114"/>
        </w:trPr>
        <w:tc>
          <w:tcPr>
            <w:tcW w:w="2182" w:type="dxa"/>
            <w:gridSpan w:val="2"/>
            <w:tcBorders>
              <w:top w:val="single" w:sz="8" w:space="0" w:color="BDD6EE"/>
              <w:left w:val="single" w:sz="8" w:space="0" w:color="BDD6EE"/>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b/>
                <w:bCs/>
                <w:color w:val="000000"/>
                <w:sz w:val="18"/>
                <w:szCs w:val="18"/>
                <w:lang w:eastAsia="tr-TR"/>
              </w:rPr>
            </w:pPr>
            <w:r w:rsidRPr="00247A2C">
              <w:rPr>
                <w:rFonts w:ascii="Calibri" w:eastAsia="Times New Roman" w:hAnsi="Calibri" w:cs="Calibri"/>
                <w:b/>
                <w:bCs/>
                <w:color w:val="000000"/>
                <w:sz w:val="18"/>
                <w:szCs w:val="18"/>
                <w:lang w:eastAsia="tr-TR"/>
              </w:rPr>
              <w:t>Genel Toplam</w:t>
            </w:r>
          </w:p>
        </w:tc>
        <w:tc>
          <w:tcPr>
            <w:tcW w:w="3371"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282.448.114</w:t>
            </w:r>
          </w:p>
        </w:tc>
        <w:tc>
          <w:tcPr>
            <w:tcW w:w="1757"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100,00%</w:t>
            </w:r>
          </w:p>
        </w:tc>
        <w:tc>
          <w:tcPr>
            <w:tcW w:w="1699" w:type="dxa"/>
            <w:tcBorders>
              <w:top w:val="nil"/>
              <w:left w:val="nil"/>
              <w:bottom w:val="single" w:sz="8" w:space="0" w:color="BDD6EE"/>
              <w:right w:val="single" w:sz="8" w:space="0" w:color="BDD6EE"/>
            </w:tcBorders>
            <w:shd w:val="clear" w:color="auto" w:fill="auto"/>
            <w:noWrap/>
            <w:vAlign w:val="center"/>
            <w:hideMark/>
          </w:tcPr>
          <w:p w:rsidR="00247A2C" w:rsidRPr="00247A2C" w:rsidRDefault="00247A2C" w:rsidP="00247A2C">
            <w:pPr>
              <w:spacing w:after="0" w:line="240" w:lineRule="auto"/>
              <w:jc w:val="center"/>
              <w:rPr>
                <w:rFonts w:ascii="Calibri" w:eastAsia="Times New Roman" w:hAnsi="Calibri" w:cs="Calibri"/>
                <w:color w:val="000000"/>
                <w:sz w:val="18"/>
                <w:szCs w:val="18"/>
                <w:lang w:eastAsia="tr-TR"/>
              </w:rPr>
            </w:pPr>
            <w:r w:rsidRPr="00247A2C">
              <w:rPr>
                <w:rFonts w:ascii="Calibri" w:eastAsia="Times New Roman" w:hAnsi="Calibri" w:cs="Calibri"/>
                <w:color w:val="000000"/>
                <w:sz w:val="18"/>
                <w:szCs w:val="18"/>
                <w:lang w:eastAsia="tr-TR"/>
              </w:rPr>
              <w:t>100,00%</w:t>
            </w:r>
          </w:p>
        </w:tc>
      </w:tr>
    </w:tbl>
    <w:p w:rsidR="00313215" w:rsidRDefault="00313215" w:rsidP="00313215">
      <w:pPr>
        <w:pStyle w:val="Caption"/>
        <w:jc w:val="center"/>
        <w:rPr>
          <w:rFonts w:cstheme="minorHAnsi"/>
          <w:sz w:val="16"/>
        </w:rPr>
      </w:pPr>
      <w:bookmarkStart w:id="10" w:name="_Toc85098560"/>
      <w:r w:rsidRPr="00313215">
        <w:rPr>
          <w:rFonts w:cstheme="minorHAnsi"/>
          <w:sz w:val="16"/>
        </w:rPr>
        <w:t xml:space="preserve">Tablo </w:t>
      </w:r>
      <w:r w:rsidR="00B56224">
        <w:rPr>
          <w:rFonts w:cstheme="minorHAnsi"/>
          <w:sz w:val="16"/>
        </w:rPr>
        <w:fldChar w:fldCharType="begin"/>
      </w:r>
      <w:r w:rsidR="00B56224">
        <w:rPr>
          <w:rFonts w:cstheme="minorHAnsi"/>
          <w:sz w:val="16"/>
        </w:rPr>
        <w:instrText xml:space="preserve"> SEQ Tablo \* ARABIC </w:instrText>
      </w:r>
      <w:r w:rsidR="00B56224">
        <w:rPr>
          <w:rFonts w:cstheme="minorHAnsi"/>
          <w:sz w:val="16"/>
        </w:rPr>
        <w:fldChar w:fldCharType="separate"/>
      </w:r>
      <w:r w:rsidR="00D12D06">
        <w:rPr>
          <w:rFonts w:cstheme="minorHAnsi"/>
          <w:noProof/>
          <w:sz w:val="16"/>
        </w:rPr>
        <w:t>5</w:t>
      </w:r>
      <w:r w:rsidR="00B56224">
        <w:rPr>
          <w:rFonts w:cstheme="minorHAnsi"/>
          <w:sz w:val="16"/>
        </w:rPr>
        <w:fldChar w:fldCharType="end"/>
      </w:r>
      <w:r w:rsidRPr="00313215">
        <w:rPr>
          <w:rFonts w:cstheme="minorHAnsi"/>
          <w:sz w:val="16"/>
        </w:rPr>
        <w:t xml:space="preserve"> Çeyreklik ve Aylık Tüketim Karakteristik Oranları</w:t>
      </w:r>
      <w:bookmarkEnd w:id="10"/>
    </w:p>
    <w:p w:rsidR="00A6554C" w:rsidRPr="00F31B3F" w:rsidRDefault="00A6554C" w:rsidP="00F31B3F"/>
    <w:p w:rsidR="00313215" w:rsidRPr="00313215" w:rsidRDefault="00313215" w:rsidP="00313215">
      <w:pPr>
        <w:pStyle w:val="Heading3"/>
        <w:rPr>
          <w:rFonts w:cstheme="majorHAnsi"/>
        </w:rPr>
      </w:pPr>
      <w:bookmarkStart w:id="11" w:name="_Toc85098595"/>
      <w:r w:rsidRPr="00313215">
        <w:rPr>
          <w:rFonts w:cstheme="majorHAnsi"/>
        </w:rPr>
        <w:t>Çeyreklik Kontratlar İçin Piyasa Pozisyon Limitlerini Hesaplanması</w:t>
      </w:r>
      <w:bookmarkEnd w:id="11"/>
    </w:p>
    <w:p w:rsidR="005F50B4" w:rsidRDefault="005F50B4" w:rsidP="007A0EC9">
      <w:pPr>
        <w:ind w:firstLine="708"/>
        <w:jc w:val="both"/>
        <w:rPr>
          <w:rFonts w:cstheme="minorHAnsi"/>
        </w:rPr>
      </w:pPr>
      <w:r>
        <w:rPr>
          <w:rFonts w:cstheme="minorHAnsi"/>
        </w:rPr>
        <w:t>Hesaplanan çeyreklik</w:t>
      </w:r>
      <w:r w:rsidR="00BB690D" w:rsidRPr="00BB690D">
        <w:rPr>
          <w:rFonts w:cstheme="minorHAnsi"/>
        </w:rPr>
        <w:t xml:space="preserve"> tüketim oranları ile toplam piyasa pozi</w:t>
      </w:r>
      <w:r w:rsidR="00681675">
        <w:rPr>
          <w:rFonts w:cstheme="minorHAnsi"/>
        </w:rPr>
        <w:t>syon limitleri çarpılarak her çeyrek</w:t>
      </w:r>
      <w:r w:rsidR="00BB690D" w:rsidRPr="00BB690D">
        <w:rPr>
          <w:rFonts w:cstheme="minorHAnsi"/>
        </w:rPr>
        <w:t xml:space="preserve"> için nihai durumdaki piyasa pozisyon limitleri hesaplanır. </w:t>
      </w:r>
      <w:r>
        <w:rPr>
          <w:rFonts w:cstheme="minorHAnsi"/>
        </w:rPr>
        <w:t>Hesaplanan bu değerden yıllık</w:t>
      </w:r>
      <w:r w:rsidR="00BB690D" w:rsidRPr="00BB690D">
        <w:rPr>
          <w:rFonts w:cstheme="minorHAnsi"/>
        </w:rPr>
        <w:t xml:space="preserve"> kontrattan </w:t>
      </w:r>
      <w:r>
        <w:rPr>
          <w:rFonts w:cstheme="minorHAnsi"/>
        </w:rPr>
        <w:t>basamaklanma sonucu ilgili çeyreklik</w:t>
      </w:r>
      <w:r w:rsidR="00BB690D" w:rsidRPr="00BB690D">
        <w:rPr>
          <w:rFonts w:cstheme="minorHAnsi"/>
        </w:rPr>
        <w:t xml:space="preserve"> kontrata gelecek limit miktarı </w:t>
      </w:r>
      <w:r>
        <w:rPr>
          <w:rFonts w:cstheme="minorHAnsi"/>
        </w:rPr>
        <w:t>çıkarılarak çeyreklik</w:t>
      </w:r>
      <w:r w:rsidR="00BB690D" w:rsidRPr="00BB690D">
        <w:rPr>
          <w:rFonts w:cstheme="minorHAnsi"/>
        </w:rPr>
        <w:t xml:space="preserve"> kontratların limitleri belirlenir.</w:t>
      </w:r>
    </w:p>
    <w:tbl>
      <w:tblPr>
        <w:tblW w:w="9013" w:type="dxa"/>
        <w:tblInd w:w="-10" w:type="dxa"/>
        <w:tblCellMar>
          <w:left w:w="70" w:type="dxa"/>
          <w:right w:w="70" w:type="dxa"/>
        </w:tblCellMar>
        <w:tblLook w:val="04A0" w:firstRow="1" w:lastRow="0" w:firstColumn="1" w:lastColumn="0" w:noHBand="0" w:noVBand="1"/>
      </w:tblPr>
      <w:tblGrid>
        <w:gridCol w:w="2203"/>
        <w:gridCol w:w="1702"/>
        <w:gridCol w:w="1702"/>
        <w:gridCol w:w="1702"/>
        <w:gridCol w:w="1704"/>
      </w:tblGrid>
      <w:tr w:rsidR="0081009E" w:rsidRPr="0081009E" w:rsidTr="000532DB">
        <w:trPr>
          <w:trHeight w:val="317"/>
        </w:trPr>
        <w:tc>
          <w:tcPr>
            <w:tcW w:w="9013" w:type="dxa"/>
            <w:gridSpan w:val="5"/>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1009E" w:rsidRPr="0081009E" w:rsidRDefault="0081009E" w:rsidP="0081009E">
            <w:pPr>
              <w:spacing w:after="0" w:line="240" w:lineRule="auto"/>
              <w:jc w:val="center"/>
              <w:rPr>
                <w:rFonts w:ascii="Calibri" w:eastAsia="Times New Roman" w:hAnsi="Calibri" w:cs="Calibri"/>
                <w:b/>
                <w:bCs/>
                <w:i/>
                <w:iCs/>
                <w:color w:val="000000"/>
                <w:sz w:val="20"/>
                <w:szCs w:val="20"/>
                <w:lang w:eastAsia="tr-TR"/>
              </w:rPr>
            </w:pPr>
            <w:r w:rsidRPr="0081009E">
              <w:rPr>
                <w:rFonts w:ascii="Calibri" w:eastAsia="Times New Roman" w:hAnsi="Calibri" w:cs="Calibri"/>
                <w:b/>
                <w:bCs/>
                <w:i/>
                <w:iCs/>
                <w:color w:val="000000"/>
                <w:sz w:val="20"/>
                <w:szCs w:val="20"/>
                <w:lang w:eastAsia="tr-TR"/>
              </w:rPr>
              <w:t>Çeyrek Kontratları Piyasa Pozisyon Limitlerinin Çeyreklik Tüketim Oranlarına Göre Çeyreklik Teslimat Dönemlerine Paylaştırılması</w:t>
            </w:r>
          </w:p>
        </w:tc>
      </w:tr>
      <w:tr w:rsidR="0081009E" w:rsidRPr="0081009E" w:rsidTr="007A0EC9">
        <w:trPr>
          <w:trHeight w:val="350"/>
        </w:trPr>
        <w:tc>
          <w:tcPr>
            <w:tcW w:w="2203" w:type="dxa"/>
            <w:vMerge w:val="restart"/>
            <w:tcBorders>
              <w:top w:val="nil"/>
              <w:left w:val="single" w:sz="8" w:space="0" w:color="BDD6EE"/>
              <w:bottom w:val="single" w:sz="8" w:space="0" w:color="BDD6EE"/>
              <w:right w:val="single" w:sz="8" w:space="0" w:color="BDD6EE"/>
            </w:tcBorders>
            <w:shd w:val="clear" w:color="000000" w:fill="DEEAF6"/>
            <w:vAlign w:val="center"/>
            <w:hideMark/>
          </w:tcPr>
          <w:p w:rsidR="0081009E" w:rsidRPr="0081009E" w:rsidRDefault="0081009E" w:rsidP="0081009E">
            <w:pPr>
              <w:spacing w:after="0" w:line="240" w:lineRule="auto"/>
              <w:jc w:val="center"/>
              <w:rPr>
                <w:rFonts w:ascii="Calibri" w:eastAsia="Times New Roman" w:hAnsi="Calibri" w:cs="Calibri"/>
                <w:b/>
                <w:bCs/>
                <w:i/>
                <w:iCs/>
                <w:color w:val="000000"/>
                <w:sz w:val="18"/>
                <w:szCs w:val="18"/>
                <w:lang w:eastAsia="tr-TR"/>
              </w:rPr>
            </w:pPr>
            <w:r w:rsidRPr="0081009E">
              <w:rPr>
                <w:rFonts w:ascii="Calibri" w:eastAsia="Times New Roman" w:hAnsi="Calibri" w:cs="Calibri"/>
                <w:b/>
                <w:bCs/>
                <w:i/>
                <w:iCs/>
                <w:color w:val="000000"/>
                <w:sz w:val="18"/>
                <w:szCs w:val="18"/>
                <w:lang w:eastAsia="tr-TR"/>
              </w:rPr>
              <w:t>2021</w:t>
            </w:r>
          </w:p>
        </w:tc>
        <w:tc>
          <w:tcPr>
            <w:tcW w:w="1702" w:type="dxa"/>
            <w:vMerge w:val="restart"/>
            <w:tcBorders>
              <w:top w:val="nil"/>
              <w:left w:val="single" w:sz="8" w:space="0" w:color="BDD6EE"/>
              <w:bottom w:val="single" w:sz="8" w:space="0" w:color="BDD6EE"/>
              <w:right w:val="single" w:sz="8" w:space="0" w:color="BDD6EE"/>
            </w:tcBorders>
            <w:shd w:val="clear" w:color="000000" w:fill="DEEAF6"/>
            <w:vAlign w:val="center"/>
            <w:hideMark/>
          </w:tcPr>
          <w:p w:rsidR="0081009E" w:rsidRPr="0081009E" w:rsidRDefault="0081009E" w:rsidP="0081009E">
            <w:pPr>
              <w:spacing w:after="0" w:line="240" w:lineRule="auto"/>
              <w:jc w:val="center"/>
              <w:rPr>
                <w:rFonts w:ascii="Calibri" w:eastAsia="Times New Roman" w:hAnsi="Calibri" w:cs="Calibri"/>
                <w:b/>
                <w:bCs/>
                <w:i/>
                <w:iCs/>
                <w:color w:val="000000"/>
                <w:sz w:val="18"/>
                <w:szCs w:val="18"/>
                <w:lang w:eastAsia="tr-TR"/>
              </w:rPr>
            </w:pPr>
            <w:r w:rsidRPr="0081009E">
              <w:rPr>
                <w:rFonts w:ascii="Calibri" w:eastAsia="Times New Roman" w:hAnsi="Calibri" w:cs="Calibri"/>
                <w:b/>
                <w:bCs/>
                <w:i/>
                <w:iCs/>
                <w:color w:val="000000"/>
                <w:sz w:val="18"/>
                <w:szCs w:val="18"/>
                <w:lang w:eastAsia="tr-TR"/>
              </w:rPr>
              <w:t>1. Çeyrek Piyasa Pozisyon Limiti</w:t>
            </w:r>
          </w:p>
        </w:tc>
        <w:tc>
          <w:tcPr>
            <w:tcW w:w="1702" w:type="dxa"/>
            <w:vMerge w:val="restart"/>
            <w:tcBorders>
              <w:top w:val="nil"/>
              <w:left w:val="single" w:sz="8" w:space="0" w:color="BDD6EE"/>
              <w:bottom w:val="single" w:sz="8" w:space="0" w:color="BDD6EE"/>
              <w:right w:val="single" w:sz="8" w:space="0" w:color="BDD6EE"/>
            </w:tcBorders>
            <w:shd w:val="clear" w:color="000000" w:fill="DEEAF6"/>
            <w:vAlign w:val="center"/>
            <w:hideMark/>
          </w:tcPr>
          <w:p w:rsidR="0081009E" w:rsidRPr="0081009E" w:rsidRDefault="0081009E" w:rsidP="0081009E">
            <w:pPr>
              <w:spacing w:after="0" w:line="240" w:lineRule="auto"/>
              <w:jc w:val="center"/>
              <w:rPr>
                <w:rFonts w:ascii="Calibri" w:eastAsia="Times New Roman" w:hAnsi="Calibri" w:cs="Calibri"/>
                <w:b/>
                <w:bCs/>
                <w:i/>
                <w:iCs/>
                <w:color w:val="000000"/>
                <w:sz w:val="18"/>
                <w:szCs w:val="18"/>
                <w:lang w:eastAsia="tr-TR"/>
              </w:rPr>
            </w:pPr>
            <w:r w:rsidRPr="0081009E">
              <w:rPr>
                <w:rFonts w:ascii="Calibri" w:eastAsia="Times New Roman" w:hAnsi="Calibri" w:cs="Calibri"/>
                <w:b/>
                <w:bCs/>
                <w:i/>
                <w:iCs/>
                <w:color w:val="000000"/>
                <w:sz w:val="18"/>
                <w:szCs w:val="18"/>
                <w:lang w:eastAsia="tr-TR"/>
              </w:rPr>
              <w:t>2. Çeyrek Piyasa Pozisyon Limiti</w:t>
            </w:r>
          </w:p>
        </w:tc>
        <w:tc>
          <w:tcPr>
            <w:tcW w:w="1702" w:type="dxa"/>
            <w:vMerge w:val="restart"/>
            <w:tcBorders>
              <w:top w:val="nil"/>
              <w:left w:val="single" w:sz="8" w:space="0" w:color="BDD6EE"/>
              <w:bottom w:val="single" w:sz="8" w:space="0" w:color="BDD6EE"/>
              <w:right w:val="single" w:sz="8" w:space="0" w:color="BDD6EE"/>
            </w:tcBorders>
            <w:shd w:val="clear" w:color="000000" w:fill="DEEAF6"/>
            <w:vAlign w:val="center"/>
            <w:hideMark/>
          </w:tcPr>
          <w:p w:rsidR="0081009E" w:rsidRPr="0081009E" w:rsidRDefault="0081009E" w:rsidP="0081009E">
            <w:pPr>
              <w:spacing w:after="0" w:line="240" w:lineRule="auto"/>
              <w:jc w:val="center"/>
              <w:rPr>
                <w:rFonts w:ascii="Calibri" w:eastAsia="Times New Roman" w:hAnsi="Calibri" w:cs="Calibri"/>
                <w:b/>
                <w:bCs/>
                <w:i/>
                <w:iCs/>
                <w:color w:val="000000"/>
                <w:sz w:val="18"/>
                <w:szCs w:val="18"/>
                <w:lang w:eastAsia="tr-TR"/>
              </w:rPr>
            </w:pPr>
            <w:r w:rsidRPr="0081009E">
              <w:rPr>
                <w:rFonts w:ascii="Calibri" w:eastAsia="Times New Roman" w:hAnsi="Calibri" w:cs="Calibri"/>
                <w:b/>
                <w:bCs/>
                <w:i/>
                <w:iCs/>
                <w:color w:val="000000"/>
                <w:sz w:val="18"/>
                <w:szCs w:val="18"/>
                <w:lang w:eastAsia="tr-TR"/>
              </w:rPr>
              <w:t>3. Çeyrek Piyasa Pozisyon Limiti</w:t>
            </w:r>
          </w:p>
        </w:tc>
        <w:tc>
          <w:tcPr>
            <w:tcW w:w="1704" w:type="dxa"/>
            <w:vMerge w:val="restart"/>
            <w:tcBorders>
              <w:top w:val="nil"/>
              <w:left w:val="single" w:sz="8" w:space="0" w:color="BDD6EE"/>
              <w:bottom w:val="single" w:sz="8" w:space="0" w:color="BDD6EE"/>
              <w:right w:val="single" w:sz="8" w:space="0" w:color="BDD6EE"/>
            </w:tcBorders>
            <w:shd w:val="clear" w:color="000000" w:fill="DEEAF6"/>
            <w:vAlign w:val="center"/>
            <w:hideMark/>
          </w:tcPr>
          <w:p w:rsidR="0081009E" w:rsidRPr="0081009E" w:rsidRDefault="0081009E" w:rsidP="0081009E">
            <w:pPr>
              <w:spacing w:after="0" w:line="240" w:lineRule="auto"/>
              <w:jc w:val="center"/>
              <w:rPr>
                <w:rFonts w:ascii="Calibri" w:eastAsia="Times New Roman" w:hAnsi="Calibri" w:cs="Calibri"/>
                <w:b/>
                <w:bCs/>
                <w:i/>
                <w:iCs/>
                <w:color w:val="000000"/>
                <w:sz w:val="18"/>
                <w:szCs w:val="18"/>
                <w:lang w:eastAsia="tr-TR"/>
              </w:rPr>
            </w:pPr>
            <w:r w:rsidRPr="0081009E">
              <w:rPr>
                <w:rFonts w:ascii="Calibri" w:eastAsia="Times New Roman" w:hAnsi="Calibri" w:cs="Calibri"/>
                <w:b/>
                <w:bCs/>
                <w:i/>
                <w:iCs/>
                <w:color w:val="000000"/>
                <w:sz w:val="18"/>
                <w:szCs w:val="18"/>
                <w:lang w:eastAsia="tr-TR"/>
              </w:rPr>
              <w:t>4. Çeyrek Piyasa Pozisyon Limiti</w:t>
            </w:r>
          </w:p>
        </w:tc>
      </w:tr>
      <w:tr w:rsidR="0081009E" w:rsidRPr="0081009E" w:rsidTr="007A0EC9">
        <w:trPr>
          <w:trHeight w:val="450"/>
        </w:trPr>
        <w:tc>
          <w:tcPr>
            <w:tcW w:w="2203" w:type="dxa"/>
            <w:vMerge/>
            <w:tcBorders>
              <w:top w:val="nil"/>
              <w:left w:val="single" w:sz="8" w:space="0" w:color="BDD6EE"/>
              <w:bottom w:val="single" w:sz="8" w:space="0" w:color="BDD6EE"/>
              <w:right w:val="single" w:sz="8" w:space="0" w:color="BDD6EE"/>
            </w:tcBorders>
            <w:vAlign w:val="center"/>
            <w:hideMark/>
          </w:tcPr>
          <w:p w:rsidR="0081009E" w:rsidRPr="0081009E" w:rsidRDefault="0081009E" w:rsidP="0081009E">
            <w:pPr>
              <w:spacing w:after="0" w:line="240" w:lineRule="auto"/>
              <w:rPr>
                <w:rFonts w:ascii="Calibri" w:eastAsia="Times New Roman" w:hAnsi="Calibri" w:cs="Calibri"/>
                <w:b/>
                <w:bCs/>
                <w:i/>
                <w:iCs/>
                <w:color w:val="000000"/>
                <w:sz w:val="18"/>
                <w:szCs w:val="18"/>
                <w:lang w:eastAsia="tr-TR"/>
              </w:rPr>
            </w:pPr>
          </w:p>
        </w:tc>
        <w:tc>
          <w:tcPr>
            <w:tcW w:w="1702" w:type="dxa"/>
            <w:vMerge/>
            <w:tcBorders>
              <w:top w:val="nil"/>
              <w:left w:val="single" w:sz="8" w:space="0" w:color="BDD6EE"/>
              <w:bottom w:val="single" w:sz="8" w:space="0" w:color="BDD6EE"/>
              <w:right w:val="single" w:sz="8" w:space="0" w:color="BDD6EE"/>
            </w:tcBorders>
            <w:vAlign w:val="center"/>
            <w:hideMark/>
          </w:tcPr>
          <w:p w:rsidR="0081009E" w:rsidRPr="0081009E" w:rsidRDefault="0081009E" w:rsidP="0081009E">
            <w:pPr>
              <w:spacing w:after="0" w:line="240" w:lineRule="auto"/>
              <w:rPr>
                <w:rFonts w:ascii="Calibri" w:eastAsia="Times New Roman" w:hAnsi="Calibri" w:cs="Calibri"/>
                <w:b/>
                <w:bCs/>
                <w:i/>
                <w:iCs/>
                <w:color w:val="000000"/>
                <w:sz w:val="18"/>
                <w:szCs w:val="18"/>
                <w:lang w:eastAsia="tr-TR"/>
              </w:rPr>
            </w:pPr>
          </w:p>
        </w:tc>
        <w:tc>
          <w:tcPr>
            <w:tcW w:w="1702" w:type="dxa"/>
            <w:vMerge/>
            <w:tcBorders>
              <w:top w:val="nil"/>
              <w:left w:val="single" w:sz="8" w:space="0" w:color="BDD6EE"/>
              <w:bottom w:val="single" w:sz="8" w:space="0" w:color="BDD6EE"/>
              <w:right w:val="single" w:sz="8" w:space="0" w:color="BDD6EE"/>
            </w:tcBorders>
            <w:vAlign w:val="center"/>
            <w:hideMark/>
          </w:tcPr>
          <w:p w:rsidR="0081009E" w:rsidRPr="0081009E" w:rsidRDefault="0081009E" w:rsidP="0081009E">
            <w:pPr>
              <w:spacing w:after="0" w:line="240" w:lineRule="auto"/>
              <w:rPr>
                <w:rFonts w:ascii="Calibri" w:eastAsia="Times New Roman" w:hAnsi="Calibri" w:cs="Calibri"/>
                <w:b/>
                <w:bCs/>
                <w:i/>
                <w:iCs/>
                <w:color w:val="000000"/>
                <w:sz w:val="18"/>
                <w:szCs w:val="18"/>
                <w:lang w:eastAsia="tr-TR"/>
              </w:rPr>
            </w:pPr>
          </w:p>
        </w:tc>
        <w:tc>
          <w:tcPr>
            <w:tcW w:w="1702" w:type="dxa"/>
            <w:vMerge/>
            <w:tcBorders>
              <w:top w:val="nil"/>
              <w:left w:val="single" w:sz="8" w:space="0" w:color="BDD6EE"/>
              <w:bottom w:val="single" w:sz="8" w:space="0" w:color="BDD6EE"/>
              <w:right w:val="single" w:sz="8" w:space="0" w:color="BDD6EE"/>
            </w:tcBorders>
            <w:vAlign w:val="center"/>
            <w:hideMark/>
          </w:tcPr>
          <w:p w:rsidR="0081009E" w:rsidRPr="0081009E" w:rsidRDefault="0081009E" w:rsidP="0081009E">
            <w:pPr>
              <w:spacing w:after="0" w:line="240" w:lineRule="auto"/>
              <w:rPr>
                <w:rFonts w:ascii="Calibri" w:eastAsia="Times New Roman" w:hAnsi="Calibri" w:cs="Calibri"/>
                <w:b/>
                <w:bCs/>
                <w:i/>
                <w:iCs/>
                <w:color w:val="000000"/>
                <w:sz w:val="18"/>
                <w:szCs w:val="18"/>
                <w:lang w:eastAsia="tr-TR"/>
              </w:rPr>
            </w:pPr>
          </w:p>
        </w:tc>
        <w:tc>
          <w:tcPr>
            <w:tcW w:w="1704" w:type="dxa"/>
            <w:vMerge/>
            <w:tcBorders>
              <w:top w:val="nil"/>
              <w:left w:val="single" w:sz="8" w:space="0" w:color="BDD6EE"/>
              <w:bottom w:val="single" w:sz="8" w:space="0" w:color="BDD6EE"/>
              <w:right w:val="single" w:sz="8" w:space="0" w:color="BDD6EE"/>
            </w:tcBorders>
            <w:vAlign w:val="center"/>
            <w:hideMark/>
          </w:tcPr>
          <w:p w:rsidR="0081009E" w:rsidRPr="0081009E" w:rsidRDefault="0081009E" w:rsidP="0081009E">
            <w:pPr>
              <w:spacing w:after="0" w:line="240" w:lineRule="auto"/>
              <w:rPr>
                <w:rFonts w:ascii="Calibri" w:eastAsia="Times New Roman" w:hAnsi="Calibri" w:cs="Calibri"/>
                <w:b/>
                <w:bCs/>
                <w:i/>
                <w:iCs/>
                <w:color w:val="000000"/>
                <w:sz w:val="18"/>
                <w:szCs w:val="18"/>
                <w:lang w:eastAsia="tr-TR"/>
              </w:rPr>
            </w:pPr>
          </w:p>
        </w:tc>
      </w:tr>
      <w:tr w:rsidR="007A0EC9" w:rsidRPr="0081009E" w:rsidTr="007A0EC9">
        <w:trPr>
          <w:trHeight w:val="178"/>
        </w:trPr>
        <w:tc>
          <w:tcPr>
            <w:tcW w:w="2203" w:type="dxa"/>
            <w:tcBorders>
              <w:top w:val="nil"/>
              <w:left w:val="single" w:sz="8" w:space="0" w:color="BDD6EE"/>
              <w:bottom w:val="single" w:sz="8" w:space="0" w:color="BDD6EE"/>
              <w:right w:val="single" w:sz="8" w:space="0" w:color="BDD6EE"/>
            </w:tcBorders>
            <w:shd w:val="clear" w:color="auto" w:fill="auto"/>
            <w:noWrap/>
            <w:vAlign w:val="center"/>
            <w:hideMark/>
          </w:tcPr>
          <w:p w:rsidR="007A0EC9" w:rsidRPr="0081009E" w:rsidRDefault="007A0EC9" w:rsidP="007A0EC9">
            <w:pPr>
              <w:spacing w:after="0" w:line="240" w:lineRule="auto"/>
              <w:jc w:val="center"/>
              <w:rPr>
                <w:rFonts w:ascii="Calibri" w:eastAsia="Times New Roman" w:hAnsi="Calibri" w:cs="Calibri"/>
                <w:b/>
                <w:bCs/>
                <w:color w:val="000000"/>
                <w:sz w:val="18"/>
                <w:szCs w:val="18"/>
                <w:lang w:eastAsia="tr-TR"/>
              </w:rPr>
            </w:pPr>
            <w:r w:rsidRPr="0081009E">
              <w:rPr>
                <w:rFonts w:ascii="Calibri" w:eastAsia="Times New Roman" w:hAnsi="Calibri" w:cs="Calibri"/>
                <w:b/>
                <w:bCs/>
                <w:color w:val="000000"/>
                <w:sz w:val="18"/>
                <w:szCs w:val="18"/>
                <w:lang w:eastAsia="tr-TR"/>
              </w:rPr>
              <w:t>MWh</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13.031.470</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11.073.869</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14.418.191</w:t>
            </w:r>
          </w:p>
        </w:tc>
        <w:tc>
          <w:tcPr>
            <w:tcW w:w="1704"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13.136.470</w:t>
            </w:r>
          </w:p>
        </w:tc>
      </w:tr>
      <w:tr w:rsidR="007A0EC9" w:rsidRPr="0081009E" w:rsidTr="007A0EC9">
        <w:trPr>
          <w:trHeight w:val="170"/>
        </w:trPr>
        <w:tc>
          <w:tcPr>
            <w:tcW w:w="2203" w:type="dxa"/>
            <w:tcBorders>
              <w:top w:val="nil"/>
              <w:left w:val="single" w:sz="8" w:space="0" w:color="BDD6EE"/>
              <w:bottom w:val="single" w:sz="8" w:space="0" w:color="BDD6EE"/>
              <w:right w:val="single" w:sz="8" w:space="0" w:color="BDD6EE"/>
            </w:tcBorders>
            <w:shd w:val="clear" w:color="auto" w:fill="auto"/>
            <w:noWrap/>
            <w:vAlign w:val="center"/>
            <w:hideMark/>
          </w:tcPr>
          <w:p w:rsidR="007A0EC9" w:rsidRPr="0081009E" w:rsidRDefault="007A0EC9" w:rsidP="007A0EC9">
            <w:pPr>
              <w:spacing w:after="0" w:line="240" w:lineRule="auto"/>
              <w:jc w:val="center"/>
              <w:rPr>
                <w:rFonts w:ascii="Calibri" w:eastAsia="Times New Roman" w:hAnsi="Calibri" w:cs="Calibri"/>
                <w:b/>
                <w:bCs/>
                <w:color w:val="000000"/>
                <w:sz w:val="18"/>
                <w:szCs w:val="18"/>
                <w:lang w:eastAsia="tr-TR"/>
              </w:rPr>
            </w:pPr>
            <w:r w:rsidRPr="0081009E">
              <w:rPr>
                <w:rFonts w:ascii="Calibri" w:eastAsia="Times New Roman" w:hAnsi="Calibri" w:cs="Calibri"/>
                <w:b/>
                <w:bCs/>
                <w:color w:val="000000"/>
                <w:sz w:val="18"/>
                <w:szCs w:val="18"/>
                <w:lang w:eastAsia="tr-TR"/>
              </w:rPr>
              <w:t>MW</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6.033</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5.070</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6.530</w:t>
            </w:r>
          </w:p>
        </w:tc>
        <w:tc>
          <w:tcPr>
            <w:tcW w:w="1704"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5.949</w:t>
            </w:r>
          </w:p>
        </w:tc>
      </w:tr>
      <w:tr w:rsidR="007A0EC9" w:rsidRPr="0081009E" w:rsidTr="007A0EC9">
        <w:trPr>
          <w:trHeight w:val="170"/>
        </w:trPr>
        <w:tc>
          <w:tcPr>
            <w:tcW w:w="2203" w:type="dxa"/>
            <w:tcBorders>
              <w:top w:val="nil"/>
              <w:left w:val="single" w:sz="8" w:space="0" w:color="BDD6EE"/>
              <w:bottom w:val="single" w:sz="8" w:space="0" w:color="BDD6EE"/>
              <w:right w:val="single" w:sz="8" w:space="0" w:color="BDD6EE"/>
            </w:tcBorders>
            <w:shd w:val="clear" w:color="auto" w:fill="auto"/>
            <w:noWrap/>
            <w:vAlign w:val="center"/>
            <w:hideMark/>
          </w:tcPr>
          <w:p w:rsidR="007A0EC9" w:rsidRPr="0081009E" w:rsidRDefault="007A0EC9" w:rsidP="007A0EC9">
            <w:pPr>
              <w:spacing w:after="0" w:line="240" w:lineRule="auto"/>
              <w:jc w:val="center"/>
              <w:rPr>
                <w:rFonts w:ascii="Calibri" w:eastAsia="Times New Roman" w:hAnsi="Calibri" w:cs="Calibri"/>
                <w:b/>
                <w:bCs/>
                <w:color w:val="000000"/>
                <w:sz w:val="18"/>
                <w:szCs w:val="18"/>
                <w:lang w:eastAsia="tr-TR"/>
              </w:rPr>
            </w:pPr>
            <w:r w:rsidRPr="0081009E">
              <w:rPr>
                <w:rFonts w:ascii="Calibri" w:eastAsia="Times New Roman" w:hAnsi="Calibri" w:cs="Calibri"/>
                <w:b/>
                <w:bCs/>
                <w:color w:val="000000"/>
                <w:sz w:val="18"/>
                <w:szCs w:val="18"/>
                <w:lang w:eastAsia="tr-TR"/>
              </w:rPr>
              <w:t>Lot</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130.314.697</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110.738.692</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144.181.908</w:t>
            </w:r>
          </w:p>
        </w:tc>
        <w:tc>
          <w:tcPr>
            <w:tcW w:w="1704"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131.364.703</w:t>
            </w:r>
          </w:p>
        </w:tc>
      </w:tr>
      <w:tr w:rsidR="007A0EC9" w:rsidRPr="0081009E" w:rsidTr="007A0EC9">
        <w:trPr>
          <w:trHeight w:val="170"/>
        </w:trPr>
        <w:tc>
          <w:tcPr>
            <w:tcW w:w="2203" w:type="dxa"/>
            <w:tcBorders>
              <w:top w:val="nil"/>
              <w:left w:val="single" w:sz="8" w:space="0" w:color="BDD6EE"/>
              <w:bottom w:val="single" w:sz="8" w:space="0" w:color="BDD6EE"/>
              <w:right w:val="single" w:sz="8" w:space="0" w:color="BDD6EE"/>
            </w:tcBorders>
            <w:shd w:val="clear" w:color="auto" w:fill="auto"/>
            <w:noWrap/>
            <w:vAlign w:val="center"/>
            <w:hideMark/>
          </w:tcPr>
          <w:p w:rsidR="007A0EC9" w:rsidRPr="0081009E" w:rsidRDefault="007A0EC9" w:rsidP="007A0EC9">
            <w:pPr>
              <w:spacing w:after="0" w:line="240" w:lineRule="auto"/>
              <w:jc w:val="center"/>
              <w:rPr>
                <w:rFonts w:ascii="Calibri" w:eastAsia="Times New Roman" w:hAnsi="Calibri" w:cs="Calibri"/>
                <w:b/>
                <w:bCs/>
                <w:color w:val="000000"/>
                <w:sz w:val="18"/>
                <w:szCs w:val="18"/>
                <w:lang w:eastAsia="tr-TR"/>
              </w:rPr>
            </w:pPr>
            <w:r w:rsidRPr="0081009E">
              <w:rPr>
                <w:rFonts w:ascii="Calibri" w:eastAsia="Times New Roman" w:hAnsi="Calibri" w:cs="Calibri"/>
                <w:b/>
                <w:bCs/>
                <w:color w:val="000000"/>
                <w:sz w:val="18"/>
                <w:szCs w:val="18"/>
                <w:lang w:eastAsia="tr-TR"/>
              </w:rPr>
              <w:t>Saatlik Lot</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60.331</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50.705</w:t>
            </w:r>
          </w:p>
        </w:tc>
        <w:tc>
          <w:tcPr>
            <w:tcW w:w="170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65.300</w:t>
            </w:r>
          </w:p>
        </w:tc>
        <w:tc>
          <w:tcPr>
            <w:tcW w:w="1704"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59.495</w:t>
            </w:r>
          </w:p>
        </w:tc>
      </w:tr>
    </w:tbl>
    <w:p w:rsidR="005562FC" w:rsidRDefault="00313215" w:rsidP="005562FC">
      <w:pPr>
        <w:pStyle w:val="Caption"/>
        <w:jc w:val="center"/>
        <w:rPr>
          <w:rFonts w:cstheme="minorHAnsi"/>
          <w:sz w:val="16"/>
        </w:rPr>
      </w:pPr>
      <w:bookmarkStart w:id="12" w:name="_Toc85098561"/>
      <w:r w:rsidRPr="00313215">
        <w:rPr>
          <w:rFonts w:cstheme="minorHAnsi"/>
          <w:sz w:val="16"/>
        </w:rPr>
        <w:t xml:space="preserve">Tablo </w:t>
      </w:r>
      <w:r w:rsidR="00B56224">
        <w:rPr>
          <w:rFonts w:cstheme="minorHAnsi"/>
          <w:sz w:val="16"/>
        </w:rPr>
        <w:fldChar w:fldCharType="begin"/>
      </w:r>
      <w:r w:rsidR="00B56224">
        <w:rPr>
          <w:rFonts w:cstheme="minorHAnsi"/>
          <w:sz w:val="16"/>
        </w:rPr>
        <w:instrText xml:space="preserve"> SEQ Tablo \* ARABIC </w:instrText>
      </w:r>
      <w:r w:rsidR="00B56224">
        <w:rPr>
          <w:rFonts w:cstheme="minorHAnsi"/>
          <w:sz w:val="16"/>
        </w:rPr>
        <w:fldChar w:fldCharType="separate"/>
      </w:r>
      <w:r w:rsidR="00D12D06">
        <w:rPr>
          <w:rFonts w:cstheme="minorHAnsi"/>
          <w:noProof/>
          <w:sz w:val="16"/>
        </w:rPr>
        <w:t>6</w:t>
      </w:r>
      <w:r w:rsidR="00B56224">
        <w:rPr>
          <w:rFonts w:cstheme="minorHAnsi"/>
          <w:sz w:val="16"/>
        </w:rPr>
        <w:fldChar w:fldCharType="end"/>
      </w:r>
      <w:r w:rsidRPr="00313215">
        <w:rPr>
          <w:rFonts w:cstheme="minorHAnsi"/>
          <w:sz w:val="16"/>
        </w:rPr>
        <w:t xml:space="preserve"> Çeyreklik Kontratlar İçin Piyasa Pozisyon Limitleri</w:t>
      </w:r>
      <w:bookmarkEnd w:id="12"/>
    </w:p>
    <w:p w:rsidR="000B616B" w:rsidRPr="000B616B" w:rsidRDefault="000B616B" w:rsidP="000B616B"/>
    <w:p w:rsidR="00313215" w:rsidRPr="00684597" w:rsidRDefault="00313215" w:rsidP="00313215">
      <w:pPr>
        <w:pStyle w:val="Heading3"/>
        <w:rPr>
          <w:rFonts w:cstheme="majorHAnsi"/>
        </w:rPr>
      </w:pPr>
      <w:bookmarkStart w:id="13" w:name="_Toc85098596"/>
      <w:r w:rsidRPr="00684597">
        <w:rPr>
          <w:rFonts w:cstheme="majorHAnsi"/>
        </w:rPr>
        <w:t>Aylık Kontratlar İçin Piyasa Pozisyon Limitlerini Hesaplanması</w:t>
      </w:r>
      <w:bookmarkEnd w:id="13"/>
    </w:p>
    <w:p w:rsidR="007A0EC9" w:rsidRDefault="00313215" w:rsidP="0082481D">
      <w:pPr>
        <w:ind w:firstLine="708"/>
        <w:jc w:val="both"/>
        <w:rPr>
          <w:rFonts w:cstheme="minorHAnsi"/>
        </w:rPr>
      </w:pPr>
      <w:r w:rsidRPr="00313215">
        <w:rPr>
          <w:rFonts w:cstheme="minorHAnsi"/>
        </w:rPr>
        <w:t xml:space="preserve">Hesaplanan aylık tüketim </w:t>
      </w:r>
      <w:r w:rsidR="00EA66A6">
        <w:rPr>
          <w:rFonts w:cstheme="minorHAnsi"/>
        </w:rPr>
        <w:t>oranları</w:t>
      </w:r>
      <w:r w:rsidR="00A47D09">
        <w:rPr>
          <w:rFonts w:cstheme="minorHAnsi"/>
        </w:rPr>
        <w:t xml:space="preserve"> ile</w:t>
      </w:r>
      <w:r w:rsidRPr="00313215">
        <w:rPr>
          <w:rFonts w:cstheme="minorHAnsi"/>
        </w:rPr>
        <w:t xml:space="preserve"> toplam piyasa pozisyon limitleri çarpılarak her ay için </w:t>
      </w:r>
      <w:r w:rsidR="00A47D09">
        <w:rPr>
          <w:rFonts w:cstheme="minorHAnsi"/>
        </w:rPr>
        <w:t xml:space="preserve">nihai durumdaki </w:t>
      </w:r>
      <w:r w:rsidRPr="00313215">
        <w:rPr>
          <w:rFonts w:cstheme="minorHAnsi"/>
        </w:rPr>
        <w:t>piyasa pozisyon limitleri hesaplanır.</w:t>
      </w:r>
      <w:r w:rsidR="00A47D09">
        <w:rPr>
          <w:rFonts w:cstheme="minorHAnsi"/>
        </w:rPr>
        <w:t xml:space="preserve"> Hesaplanan bu değerden </w:t>
      </w:r>
      <w:r w:rsidR="00754E30">
        <w:rPr>
          <w:rFonts w:cstheme="minorHAnsi"/>
        </w:rPr>
        <w:t xml:space="preserve">yıl ve </w:t>
      </w:r>
      <w:r w:rsidR="00A47D09">
        <w:rPr>
          <w:rFonts w:cstheme="minorHAnsi"/>
        </w:rPr>
        <w:t>çeyreklik kontrat</w:t>
      </w:r>
      <w:r w:rsidR="00754E30">
        <w:rPr>
          <w:rFonts w:cstheme="minorHAnsi"/>
        </w:rPr>
        <w:t>lardan</w:t>
      </w:r>
      <w:r w:rsidR="00A47D09">
        <w:rPr>
          <w:rFonts w:cstheme="minorHAnsi"/>
        </w:rPr>
        <w:t xml:space="preserve"> basamaklanma sonucu ilgili aylık kontrata gelecek limit miktarı çıkarılarak aylık kontratların limitleri belirlenir. </w:t>
      </w:r>
    </w:p>
    <w:tbl>
      <w:tblPr>
        <w:tblW w:w="9004" w:type="dxa"/>
        <w:tblInd w:w="-10" w:type="dxa"/>
        <w:tblCellMar>
          <w:left w:w="70" w:type="dxa"/>
          <w:right w:w="70" w:type="dxa"/>
        </w:tblCellMar>
        <w:tblLook w:val="04A0" w:firstRow="1" w:lastRow="0" w:firstColumn="1" w:lastColumn="0" w:noHBand="0" w:noVBand="1"/>
      </w:tblPr>
      <w:tblGrid>
        <w:gridCol w:w="3025"/>
        <w:gridCol w:w="1386"/>
        <w:gridCol w:w="1259"/>
        <w:gridCol w:w="1512"/>
        <w:gridCol w:w="1822"/>
      </w:tblGrid>
      <w:tr w:rsidR="00BE39B1" w:rsidRPr="00BE39B1" w:rsidTr="000532DB">
        <w:trPr>
          <w:trHeight w:val="244"/>
        </w:trPr>
        <w:tc>
          <w:tcPr>
            <w:tcW w:w="9004" w:type="dxa"/>
            <w:gridSpan w:val="5"/>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BE39B1" w:rsidRPr="00BE39B1" w:rsidRDefault="00BE39B1" w:rsidP="00BE39B1">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lastRenderedPageBreak/>
              <w:t>Ay Kontratları Piyasa Pozisyon Limitlerinin Aylık Tüketim Oranlarına Göre Aylık Teslimat Dönemlerine Paylaştırılması</w:t>
            </w:r>
          </w:p>
        </w:tc>
      </w:tr>
      <w:tr w:rsidR="00BE39B1" w:rsidRPr="00BE39B1" w:rsidTr="000532DB">
        <w:trPr>
          <w:trHeight w:val="450"/>
        </w:trPr>
        <w:tc>
          <w:tcPr>
            <w:tcW w:w="9004" w:type="dxa"/>
            <w:gridSpan w:val="5"/>
            <w:vMerge/>
            <w:tcBorders>
              <w:top w:val="single" w:sz="8" w:space="0" w:color="BDD6EE"/>
              <w:left w:val="single" w:sz="8" w:space="0" w:color="BDD6EE"/>
              <w:bottom w:val="single" w:sz="12" w:space="0" w:color="9CC2E5"/>
              <w:right w:val="single" w:sz="8" w:space="0" w:color="BDD6EE"/>
            </w:tcBorders>
            <w:vAlign w:val="center"/>
            <w:hideMark/>
          </w:tcPr>
          <w:p w:rsidR="00BE39B1" w:rsidRPr="00BE39B1" w:rsidRDefault="00BE39B1" w:rsidP="00BE39B1">
            <w:pPr>
              <w:spacing w:after="0" w:line="240" w:lineRule="auto"/>
              <w:rPr>
                <w:rFonts w:ascii="Calibri" w:eastAsia="Times New Roman" w:hAnsi="Calibri" w:cs="Calibri"/>
                <w:b/>
                <w:bCs/>
                <w:i/>
                <w:iCs/>
                <w:color w:val="000000"/>
                <w:sz w:val="20"/>
                <w:szCs w:val="20"/>
                <w:lang w:eastAsia="tr-TR"/>
              </w:rPr>
            </w:pPr>
          </w:p>
        </w:tc>
      </w:tr>
      <w:tr w:rsidR="00BE39B1" w:rsidRPr="00BE39B1" w:rsidTr="00C32FC0">
        <w:trPr>
          <w:trHeight w:val="152"/>
        </w:trPr>
        <w:tc>
          <w:tcPr>
            <w:tcW w:w="3025" w:type="dxa"/>
            <w:tcBorders>
              <w:top w:val="nil"/>
              <w:left w:val="single" w:sz="8" w:space="0" w:color="BDD6EE"/>
              <w:bottom w:val="single" w:sz="8" w:space="0" w:color="BDD6EE"/>
              <w:right w:val="single" w:sz="8" w:space="0" w:color="BDD6EE"/>
            </w:tcBorders>
            <w:shd w:val="clear" w:color="000000" w:fill="DEEAF6"/>
            <w:vAlign w:val="center"/>
            <w:hideMark/>
          </w:tcPr>
          <w:p w:rsidR="00BE39B1" w:rsidRPr="00BE39B1" w:rsidRDefault="00BE39B1" w:rsidP="00BE39B1">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2021</w:t>
            </w:r>
          </w:p>
        </w:tc>
        <w:tc>
          <w:tcPr>
            <w:tcW w:w="1386" w:type="dxa"/>
            <w:tcBorders>
              <w:top w:val="nil"/>
              <w:left w:val="nil"/>
              <w:bottom w:val="single" w:sz="8" w:space="0" w:color="BDD6EE"/>
              <w:right w:val="single" w:sz="8" w:space="0" w:color="BDD6EE"/>
            </w:tcBorders>
            <w:shd w:val="clear" w:color="000000" w:fill="DEEAF6"/>
            <w:noWrap/>
            <w:vAlign w:val="center"/>
            <w:hideMark/>
          </w:tcPr>
          <w:p w:rsidR="00BE39B1" w:rsidRPr="00BE39B1" w:rsidRDefault="00BE39B1" w:rsidP="00BE39B1">
            <w:pPr>
              <w:spacing w:after="0" w:line="240" w:lineRule="auto"/>
              <w:jc w:val="center"/>
              <w:rPr>
                <w:rFonts w:ascii="Calibri" w:eastAsia="Times New Roman" w:hAnsi="Calibri" w:cs="Calibri"/>
                <w:b/>
                <w:bCs/>
                <w:color w:val="000000"/>
                <w:sz w:val="20"/>
                <w:szCs w:val="20"/>
                <w:lang w:eastAsia="tr-TR"/>
              </w:rPr>
            </w:pPr>
            <w:r w:rsidRPr="00BE39B1">
              <w:rPr>
                <w:rFonts w:ascii="Calibri" w:eastAsia="Times New Roman" w:hAnsi="Calibri" w:cs="Calibri"/>
                <w:b/>
                <w:bCs/>
                <w:color w:val="000000"/>
                <w:sz w:val="20"/>
                <w:szCs w:val="20"/>
                <w:lang w:eastAsia="tr-TR"/>
              </w:rPr>
              <w:t>MWh</w:t>
            </w:r>
          </w:p>
        </w:tc>
        <w:tc>
          <w:tcPr>
            <w:tcW w:w="1259" w:type="dxa"/>
            <w:tcBorders>
              <w:top w:val="nil"/>
              <w:left w:val="nil"/>
              <w:bottom w:val="single" w:sz="8" w:space="0" w:color="BDD6EE"/>
              <w:right w:val="single" w:sz="8" w:space="0" w:color="BDD6EE"/>
            </w:tcBorders>
            <w:shd w:val="clear" w:color="000000" w:fill="DEEAF6"/>
            <w:noWrap/>
            <w:vAlign w:val="center"/>
            <w:hideMark/>
          </w:tcPr>
          <w:p w:rsidR="00BE39B1" w:rsidRPr="00BE39B1" w:rsidRDefault="00BE39B1" w:rsidP="00BE39B1">
            <w:pPr>
              <w:spacing w:after="0" w:line="240" w:lineRule="auto"/>
              <w:jc w:val="center"/>
              <w:rPr>
                <w:rFonts w:ascii="Calibri" w:eastAsia="Times New Roman" w:hAnsi="Calibri" w:cs="Calibri"/>
                <w:b/>
                <w:bCs/>
                <w:color w:val="000000"/>
                <w:sz w:val="20"/>
                <w:szCs w:val="20"/>
                <w:lang w:eastAsia="tr-TR"/>
              </w:rPr>
            </w:pPr>
            <w:r w:rsidRPr="00BE39B1">
              <w:rPr>
                <w:rFonts w:ascii="Calibri" w:eastAsia="Times New Roman" w:hAnsi="Calibri" w:cs="Calibri"/>
                <w:b/>
                <w:bCs/>
                <w:color w:val="000000"/>
                <w:sz w:val="20"/>
                <w:szCs w:val="20"/>
                <w:lang w:eastAsia="tr-TR"/>
              </w:rPr>
              <w:t>MW</w:t>
            </w:r>
          </w:p>
        </w:tc>
        <w:tc>
          <w:tcPr>
            <w:tcW w:w="1512" w:type="dxa"/>
            <w:tcBorders>
              <w:top w:val="nil"/>
              <w:left w:val="nil"/>
              <w:bottom w:val="single" w:sz="8" w:space="0" w:color="BDD6EE"/>
              <w:right w:val="single" w:sz="8" w:space="0" w:color="BDD6EE"/>
            </w:tcBorders>
            <w:shd w:val="clear" w:color="000000" w:fill="DEEAF6"/>
            <w:noWrap/>
            <w:vAlign w:val="center"/>
            <w:hideMark/>
          </w:tcPr>
          <w:p w:rsidR="00BE39B1" w:rsidRPr="00BE39B1" w:rsidRDefault="00BE39B1" w:rsidP="00BE39B1">
            <w:pPr>
              <w:spacing w:after="0" w:line="240" w:lineRule="auto"/>
              <w:jc w:val="center"/>
              <w:rPr>
                <w:rFonts w:ascii="Calibri" w:eastAsia="Times New Roman" w:hAnsi="Calibri" w:cs="Calibri"/>
                <w:b/>
                <w:bCs/>
                <w:color w:val="000000"/>
                <w:sz w:val="20"/>
                <w:szCs w:val="20"/>
                <w:lang w:eastAsia="tr-TR"/>
              </w:rPr>
            </w:pPr>
            <w:r w:rsidRPr="00BE39B1">
              <w:rPr>
                <w:rFonts w:ascii="Calibri" w:eastAsia="Times New Roman" w:hAnsi="Calibri" w:cs="Calibri"/>
                <w:b/>
                <w:bCs/>
                <w:color w:val="000000"/>
                <w:sz w:val="20"/>
                <w:szCs w:val="20"/>
                <w:lang w:eastAsia="tr-TR"/>
              </w:rPr>
              <w:t xml:space="preserve">Lot </w:t>
            </w:r>
          </w:p>
        </w:tc>
        <w:tc>
          <w:tcPr>
            <w:tcW w:w="1822" w:type="dxa"/>
            <w:tcBorders>
              <w:top w:val="nil"/>
              <w:left w:val="nil"/>
              <w:bottom w:val="single" w:sz="8" w:space="0" w:color="BDD6EE"/>
              <w:right w:val="single" w:sz="8" w:space="0" w:color="BDD6EE"/>
            </w:tcBorders>
            <w:shd w:val="clear" w:color="000000" w:fill="DEEAF6"/>
            <w:noWrap/>
            <w:vAlign w:val="center"/>
            <w:hideMark/>
          </w:tcPr>
          <w:p w:rsidR="00BE39B1" w:rsidRPr="00BE39B1" w:rsidRDefault="00BE39B1" w:rsidP="00BE39B1">
            <w:pPr>
              <w:spacing w:after="0" w:line="240" w:lineRule="auto"/>
              <w:jc w:val="center"/>
              <w:rPr>
                <w:rFonts w:ascii="Calibri" w:eastAsia="Times New Roman" w:hAnsi="Calibri" w:cs="Calibri"/>
                <w:b/>
                <w:bCs/>
                <w:color w:val="000000"/>
                <w:sz w:val="20"/>
                <w:szCs w:val="20"/>
                <w:lang w:eastAsia="tr-TR"/>
              </w:rPr>
            </w:pPr>
            <w:r w:rsidRPr="00BE39B1">
              <w:rPr>
                <w:rFonts w:ascii="Calibri" w:eastAsia="Times New Roman" w:hAnsi="Calibri" w:cs="Calibri"/>
                <w:b/>
                <w:bCs/>
                <w:color w:val="000000"/>
                <w:sz w:val="20"/>
                <w:szCs w:val="20"/>
                <w:lang w:eastAsia="tr-TR"/>
              </w:rPr>
              <w:t>Saatlik Lot</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Ocak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9.274.718</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12.466</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92.747.177</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124.660</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Şubat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8.824.324</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13.131</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88.243.238</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131.314</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Mart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8.061.694</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10.836</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80.616.937</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108.356</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Nisan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6.568.807</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9.123</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65.688.074</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91.233</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Mayıs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6.609.031</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8.883</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66.090.312</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88.831</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Haziran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8.367.984</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11.622</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83.679.839</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116.222</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Temmuz Ayı Piyasa Pozisyon Limiti</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9.787.845</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13.156</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97.878.447</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131.557</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Ağustos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10.041.100</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13.496</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100.411.003</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134.961</w:t>
            </w:r>
          </w:p>
        </w:tc>
      </w:tr>
      <w:tr w:rsidR="007A0EC9" w:rsidRPr="00BE39B1" w:rsidTr="002335D4">
        <w:trPr>
          <w:trHeight w:val="263"/>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Eylül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9.473.116</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13.157</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94.731.163</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131.571</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Ekim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8.274.572</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11.122</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82.745.724</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111.217</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Kasım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8.621.942</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11.975</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86.219.417</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119.749</w:t>
            </w:r>
          </w:p>
        </w:tc>
      </w:tr>
      <w:tr w:rsidR="007A0EC9" w:rsidRPr="00BE39B1" w:rsidTr="002335D4">
        <w:trPr>
          <w:trHeight w:val="255"/>
        </w:trPr>
        <w:tc>
          <w:tcPr>
            <w:tcW w:w="3025" w:type="dxa"/>
            <w:tcBorders>
              <w:top w:val="nil"/>
              <w:left w:val="single" w:sz="8" w:space="0" w:color="BDD6EE"/>
              <w:bottom w:val="single" w:sz="8" w:space="0" w:color="BDD6EE"/>
              <w:right w:val="single" w:sz="8" w:space="0" w:color="BDD6EE"/>
            </w:tcBorders>
            <w:shd w:val="clear" w:color="auto" w:fill="auto"/>
            <w:vAlign w:val="center"/>
            <w:hideMark/>
          </w:tcPr>
          <w:p w:rsidR="007A0EC9" w:rsidRPr="00BE39B1" w:rsidRDefault="007A0EC9" w:rsidP="007A0EC9">
            <w:pPr>
              <w:spacing w:after="0" w:line="240" w:lineRule="auto"/>
              <w:jc w:val="center"/>
              <w:rPr>
                <w:rFonts w:ascii="Calibri" w:eastAsia="Times New Roman" w:hAnsi="Calibri" w:cs="Calibri"/>
                <w:b/>
                <w:bCs/>
                <w:i/>
                <w:iCs/>
                <w:color w:val="000000"/>
                <w:sz w:val="20"/>
                <w:szCs w:val="20"/>
                <w:lang w:eastAsia="tr-TR"/>
              </w:rPr>
            </w:pPr>
            <w:r w:rsidRPr="00BE39B1">
              <w:rPr>
                <w:rFonts w:ascii="Calibri" w:eastAsia="Times New Roman" w:hAnsi="Calibri" w:cs="Calibri"/>
                <w:b/>
                <w:bCs/>
                <w:i/>
                <w:iCs/>
                <w:color w:val="000000"/>
                <w:sz w:val="20"/>
                <w:szCs w:val="20"/>
                <w:lang w:eastAsia="tr-TR"/>
              </w:rPr>
              <w:t xml:space="preserve">Aralık Ayı Piyasa Pozisyon Limiti </w:t>
            </w:r>
          </w:p>
        </w:tc>
        <w:tc>
          <w:tcPr>
            <w:tcW w:w="1386"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9.414.866</w:t>
            </w:r>
          </w:p>
        </w:tc>
        <w:tc>
          <w:tcPr>
            <w:tcW w:w="1259"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12.654</w:t>
            </w:r>
          </w:p>
        </w:tc>
        <w:tc>
          <w:tcPr>
            <w:tcW w:w="151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94.148.663</w:t>
            </w:r>
          </w:p>
        </w:tc>
        <w:tc>
          <w:tcPr>
            <w:tcW w:w="1822" w:type="dxa"/>
            <w:tcBorders>
              <w:top w:val="nil"/>
              <w:left w:val="nil"/>
              <w:bottom w:val="single" w:sz="8" w:space="0" w:color="BDD6EE"/>
              <w:right w:val="single" w:sz="8" w:space="0" w:color="BDD6EE"/>
            </w:tcBorders>
            <w:shd w:val="clear" w:color="auto" w:fill="auto"/>
            <w:noWrap/>
            <w:hideMark/>
          </w:tcPr>
          <w:p w:rsidR="007A0EC9" w:rsidRPr="007A0EC9" w:rsidRDefault="007A0EC9" w:rsidP="007A0EC9">
            <w:pPr>
              <w:spacing w:after="0" w:line="240" w:lineRule="auto"/>
              <w:jc w:val="center"/>
              <w:rPr>
                <w:rFonts w:ascii="Calibri" w:eastAsia="Times New Roman" w:hAnsi="Calibri" w:cs="Calibri"/>
                <w:color w:val="000000"/>
                <w:sz w:val="18"/>
                <w:szCs w:val="18"/>
                <w:lang w:eastAsia="tr-TR"/>
              </w:rPr>
            </w:pPr>
            <w:r w:rsidRPr="007A0EC9">
              <w:rPr>
                <w:rFonts w:ascii="Calibri" w:eastAsia="Times New Roman" w:hAnsi="Calibri" w:cs="Calibri"/>
                <w:color w:val="000000"/>
                <w:sz w:val="18"/>
                <w:szCs w:val="18"/>
                <w:lang w:eastAsia="tr-TR"/>
              </w:rPr>
              <w:t>126.544</w:t>
            </w:r>
          </w:p>
        </w:tc>
      </w:tr>
    </w:tbl>
    <w:p w:rsidR="00313215" w:rsidRDefault="00313215" w:rsidP="00A47D09">
      <w:pPr>
        <w:pStyle w:val="Caption"/>
        <w:jc w:val="center"/>
        <w:rPr>
          <w:rFonts w:cstheme="minorHAnsi"/>
          <w:sz w:val="16"/>
        </w:rPr>
      </w:pPr>
      <w:bookmarkStart w:id="14" w:name="_Toc85098562"/>
      <w:r w:rsidRPr="00313215">
        <w:rPr>
          <w:rFonts w:cstheme="minorHAnsi"/>
          <w:sz w:val="16"/>
        </w:rPr>
        <w:t xml:space="preserve">Tablo </w:t>
      </w:r>
      <w:r w:rsidR="00B56224">
        <w:rPr>
          <w:rFonts w:cstheme="minorHAnsi"/>
          <w:sz w:val="16"/>
        </w:rPr>
        <w:fldChar w:fldCharType="begin"/>
      </w:r>
      <w:r w:rsidR="00B56224">
        <w:rPr>
          <w:rFonts w:cstheme="minorHAnsi"/>
          <w:sz w:val="16"/>
        </w:rPr>
        <w:instrText xml:space="preserve"> SEQ Tablo \* ARABIC </w:instrText>
      </w:r>
      <w:r w:rsidR="00B56224">
        <w:rPr>
          <w:rFonts w:cstheme="minorHAnsi"/>
          <w:sz w:val="16"/>
        </w:rPr>
        <w:fldChar w:fldCharType="separate"/>
      </w:r>
      <w:r w:rsidR="00D12D06">
        <w:rPr>
          <w:rFonts w:cstheme="minorHAnsi"/>
          <w:noProof/>
          <w:sz w:val="16"/>
        </w:rPr>
        <w:t>7</w:t>
      </w:r>
      <w:r w:rsidR="00B56224">
        <w:rPr>
          <w:rFonts w:cstheme="minorHAnsi"/>
          <w:sz w:val="16"/>
        </w:rPr>
        <w:fldChar w:fldCharType="end"/>
      </w:r>
      <w:r w:rsidRPr="00313215">
        <w:rPr>
          <w:rFonts w:cstheme="minorHAnsi"/>
          <w:sz w:val="16"/>
        </w:rPr>
        <w:t xml:space="preserve"> Aylık Kontratlar</w:t>
      </w:r>
      <w:r w:rsidR="00684597">
        <w:rPr>
          <w:rFonts w:cstheme="minorHAnsi"/>
          <w:sz w:val="16"/>
        </w:rPr>
        <w:t xml:space="preserve"> İçin Piyasa Pozisyon Limitleri</w:t>
      </w:r>
      <w:bookmarkEnd w:id="14"/>
    </w:p>
    <w:p w:rsidR="00903079" w:rsidRPr="00903079" w:rsidRDefault="00903079" w:rsidP="00903079"/>
    <w:p w:rsidR="007A0EC9" w:rsidRPr="00903079" w:rsidRDefault="00313215" w:rsidP="007A0EC9">
      <w:pPr>
        <w:pStyle w:val="Heading3"/>
        <w:rPr>
          <w:rFonts w:cstheme="majorHAnsi"/>
        </w:rPr>
      </w:pPr>
      <w:bookmarkStart w:id="15" w:name="_Toc85098597"/>
      <w:r w:rsidRPr="00684597">
        <w:rPr>
          <w:rFonts w:cstheme="majorHAnsi"/>
        </w:rPr>
        <w:t>Basamaklandırma İşlemi ve Piyasa Pozisyon Limitleri</w:t>
      </w:r>
      <w:bookmarkEnd w:id="15"/>
    </w:p>
    <w:p w:rsidR="00313215" w:rsidRPr="00313215" w:rsidRDefault="000304EE" w:rsidP="00AD13B0">
      <w:pPr>
        <w:ind w:firstLine="708"/>
        <w:jc w:val="both"/>
        <w:rPr>
          <w:rFonts w:cstheme="minorHAnsi"/>
        </w:rPr>
      </w:pPr>
      <w:r>
        <w:rPr>
          <w:rFonts w:cstheme="minorHAnsi"/>
        </w:rPr>
        <w:t>K</w:t>
      </w:r>
      <w:r w:rsidR="00313215" w:rsidRPr="00313215">
        <w:rPr>
          <w:rFonts w:cstheme="minorHAnsi"/>
        </w:rPr>
        <w:t xml:space="preserve">ontratlarda basamaklandırma işleme </w:t>
      </w:r>
      <w:r>
        <w:rPr>
          <w:rFonts w:cstheme="minorHAnsi"/>
        </w:rPr>
        <w:t>sonucunda</w:t>
      </w:r>
      <w:r w:rsidR="00313215" w:rsidRPr="00313215">
        <w:rPr>
          <w:rFonts w:cstheme="minorHAnsi"/>
        </w:rPr>
        <w:t xml:space="preserve"> basamaklandırılan teslimat dönemlerine ait piyasa</w:t>
      </w:r>
      <w:r>
        <w:rPr>
          <w:rFonts w:cstheme="minorHAnsi"/>
        </w:rPr>
        <w:t xml:space="preserve"> pozisyon limitleri</w:t>
      </w:r>
      <w:r w:rsidR="00313215" w:rsidRPr="00313215">
        <w:rPr>
          <w:rFonts w:cstheme="minorHAnsi"/>
        </w:rPr>
        <w:t xml:space="preserve"> ilgili daha kısa teslimat dönemi</w:t>
      </w:r>
      <w:r>
        <w:rPr>
          <w:rFonts w:cstheme="minorHAnsi"/>
        </w:rPr>
        <w:t>ne sahip kontratların</w:t>
      </w:r>
      <w:r w:rsidR="00313215" w:rsidRPr="00313215">
        <w:rPr>
          <w:rFonts w:cstheme="minorHAnsi"/>
        </w:rPr>
        <w:t xml:space="preserve"> gün sayısı</w:t>
      </w:r>
      <w:r>
        <w:rPr>
          <w:rFonts w:cstheme="minorHAnsi"/>
        </w:rPr>
        <w:t xml:space="preserve"> </w:t>
      </w:r>
      <w:r w:rsidR="00313215" w:rsidRPr="00313215">
        <w:rPr>
          <w:rFonts w:cstheme="minorHAnsi"/>
        </w:rPr>
        <w:t xml:space="preserve">oranınca paylaştırılır. Basamaklandırma işlemi </w:t>
      </w:r>
      <w:r>
        <w:rPr>
          <w:rFonts w:cstheme="minorHAnsi"/>
        </w:rPr>
        <w:t xml:space="preserve">ile </w:t>
      </w:r>
      <w:r w:rsidR="00313215" w:rsidRPr="00313215">
        <w:rPr>
          <w:rFonts w:cstheme="minorHAnsi"/>
        </w:rPr>
        <w:t>ilgili k</w:t>
      </w:r>
      <w:r>
        <w:rPr>
          <w:rFonts w:cstheme="minorHAnsi"/>
        </w:rPr>
        <w:t xml:space="preserve">ontratın kapanmasıyla </w:t>
      </w:r>
      <w:r w:rsidR="00A76E9D">
        <w:rPr>
          <w:rFonts w:cstheme="minorHAnsi"/>
        </w:rPr>
        <w:t>birlikte</w:t>
      </w:r>
      <w:r w:rsidR="00841DB5">
        <w:rPr>
          <w:rFonts w:cstheme="minorHAnsi"/>
        </w:rPr>
        <w:t xml:space="preserve"> yıl kontratına ait piyasa pozisyon limitleri çeyreklik kontratlara,</w:t>
      </w:r>
      <w:r w:rsidR="00A76E9D">
        <w:rPr>
          <w:rFonts w:cstheme="minorHAnsi"/>
        </w:rPr>
        <w:t xml:space="preserve"> </w:t>
      </w:r>
      <w:r w:rsidR="00313215" w:rsidRPr="00313215">
        <w:rPr>
          <w:rFonts w:cstheme="minorHAnsi"/>
        </w:rPr>
        <w:t>çeyreklik kontratlar</w:t>
      </w:r>
      <w:r>
        <w:rPr>
          <w:rFonts w:cstheme="minorHAnsi"/>
        </w:rPr>
        <w:t>a ait piyasa pozisyon limitleri</w:t>
      </w:r>
      <w:r w:rsidR="00313215" w:rsidRPr="00313215">
        <w:rPr>
          <w:rFonts w:cstheme="minorHAnsi"/>
        </w:rPr>
        <w:t xml:space="preserve"> aylık kontratlara </w:t>
      </w:r>
      <w:r>
        <w:rPr>
          <w:rFonts w:cstheme="minorHAnsi"/>
        </w:rPr>
        <w:t>aktarılır.</w:t>
      </w:r>
    </w:p>
    <w:p w:rsidR="00313215" w:rsidRDefault="00A76E9D" w:rsidP="00AD13B0">
      <w:pPr>
        <w:ind w:firstLine="708"/>
        <w:jc w:val="both"/>
        <w:rPr>
          <w:rFonts w:cstheme="minorHAnsi"/>
        </w:rPr>
      </w:pPr>
      <w:r>
        <w:rPr>
          <w:rFonts w:cstheme="minorHAnsi"/>
        </w:rPr>
        <w:t>Örneğin 2021</w:t>
      </w:r>
      <w:r w:rsidR="00313215" w:rsidRPr="00313215">
        <w:rPr>
          <w:rFonts w:cstheme="minorHAnsi"/>
        </w:rPr>
        <w:t xml:space="preserve"> </w:t>
      </w:r>
      <w:r w:rsidR="00841DB5">
        <w:rPr>
          <w:rFonts w:cstheme="minorHAnsi"/>
        </w:rPr>
        <w:t xml:space="preserve">yıl kontratının kapanmasıyla birlikte, yıl kontratına ait piyasa pozisyon limiti 2021 yılının kapsadığı 4 çeyreklik kontrata gün sayıları oranında dağıtılır. 2021 yılı 1. </w:t>
      </w:r>
      <w:r w:rsidR="000304EE">
        <w:rPr>
          <w:rFonts w:cstheme="minorHAnsi"/>
        </w:rPr>
        <w:t>çeyreklik</w:t>
      </w:r>
      <w:r w:rsidR="00313215" w:rsidRPr="00313215">
        <w:rPr>
          <w:rFonts w:cstheme="minorHAnsi"/>
        </w:rPr>
        <w:t xml:space="preserve"> kontratının kapanmasıyla birlikte, </w:t>
      </w:r>
      <w:r w:rsidR="000304EE">
        <w:rPr>
          <w:rFonts w:cstheme="minorHAnsi"/>
        </w:rPr>
        <w:t>ilk çeyreğe ait</w:t>
      </w:r>
      <w:r w:rsidR="00313215" w:rsidRPr="00313215">
        <w:rPr>
          <w:rFonts w:cstheme="minorHAnsi"/>
        </w:rPr>
        <w:t xml:space="preserve"> piyasa</w:t>
      </w:r>
      <w:r w:rsidR="000304EE">
        <w:rPr>
          <w:rFonts w:cstheme="minorHAnsi"/>
        </w:rPr>
        <w:t xml:space="preserve"> pozisyon limiti</w:t>
      </w:r>
      <w:r w:rsidR="00313215" w:rsidRPr="00313215">
        <w:rPr>
          <w:rFonts w:cstheme="minorHAnsi"/>
        </w:rPr>
        <w:t xml:space="preserve"> </w:t>
      </w:r>
      <w:r w:rsidR="000304EE">
        <w:rPr>
          <w:rFonts w:cstheme="minorHAnsi"/>
        </w:rPr>
        <w:t>ilk çeyreğin</w:t>
      </w:r>
      <w:r w:rsidR="00313215" w:rsidRPr="00313215">
        <w:rPr>
          <w:rFonts w:cstheme="minorHAnsi"/>
        </w:rPr>
        <w:t xml:space="preserve"> kapsadığı Ocak, Şubat ve Mart aylarına gün sayıları oranında dağıtılır. </w:t>
      </w:r>
      <w:r w:rsidR="000304EE">
        <w:rPr>
          <w:rFonts w:cstheme="minorHAnsi"/>
        </w:rPr>
        <w:t>İkinci, üçüncü</w:t>
      </w:r>
      <w:r w:rsidR="00313215" w:rsidRPr="00313215">
        <w:rPr>
          <w:rFonts w:cstheme="minorHAnsi"/>
        </w:rPr>
        <w:t xml:space="preserve"> ve </w:t>
      </w:r>
      <w:r w:rsidR="000304EE">
        <w:rPr>
          <w:rFonts w:cstheme="minorHAnsi"/>
        </w:rPr>
        <w:t xml:space="preserve">dördüncü </w:t>
      </w:r>
      <w:r w:rsidR="00313215" w:rsidRPr="00313215">
        <w:rPr>
          <w:rFonts w:cstheme="minorHAnsi"/>
        </w:rPr>
        <w:t>çeyrek</w:t>
      </w:r>
      <w:r w:rsidR="000304EE">
        <w:rPr>
          <w:rFonts w:cstheme="minorHAnsi"/>
        </w:rPr>
        <w:t>lik</w:t>
      </w:r>
      <w:r w:rsidR="00313215" w:rsidRPr="00313215">
        <w:rPr>
          <w:rFonts w:cstheme="minorHAnsi"/>
        </w:rPr>
        <w:t xml:space="preserve"> kontratlar ise henüz basamaklandırma işlemi gerçekleşmediği için ilgili çeyreklerin piyasa limitlerinde değişiklik olmaz.</w:t>
      </w:r>
    </w:p>
    <w:p w:rsidR="00841DB5" w:rsidRDefault="00841DB5" w:rsidP="00AD13B0">
      <w:pPr>
        <w:ind w:firstLine="708"/>
        <w:jc w:val="both"/>
        <w:rPr>
          <w:rFonts w:cstheme="minorHAnsi"/>
        </w:rPr>
      </w:pPr>
    </w:p>
    <w:tbl>
      <w:tblPr>
        <w:tblW w:w="9126" w:type="dxa"/>
        <w:tblCellMar>
          <w:left w:w="70" w:type="dxa"/>
          <w:right w:w="70" w:type="dxa"/>
        </w:tblCellMar>
        <w:tblLook w:val="04A0" w:firstRow="1" w:lastRow="0" w:firstColumn="1" w:lastColumn="0" w:noHBand="0" w:noVBand="1"/>
      </w:tblPr>
      <w:tblGrid>
        <w:gridCol w:w="1451"/>
        <w:gridCol w:w="1780"/>
        <w:gridCol w:w="2039"/>
        <w:gridCol w:w="1893"/>
        <w:gridCol w:w="1963"/>
      </w:tblGrid>
      <w:tr w:rsidR="00841DB5" w:rsidRPr="00A76E9D" w:rsidTr="002335D4">
        <w:trPr>
          <w:trHeight w:val="195"/>
        </w:trPr>
        <w:tc>
          <w:tcPr>
            <w:tcW w:w="1451"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41DB5" w:rsidRPr="00A76E9D" w:rsidRDefault="00841DB5" w:rsidP="002335D4">
            <w:pPr>
              <w:spacing w:after="0" w:line="240" w:lineRule="auto"/>
              <w:jc w:val="center"/>
              <w:rPr>
                <w:rFonts w:ascii="Calibri" w:eastAsia="Times New Roman" w:hAnsi="Calibri" w:cs="Calibri"/>
                <w:i/>
                <w:iCs/>
                <w:color w:val="000000"/>
                <w:sz w:val="16"/>
                <w:szCs w:val="16"/>
                <w:lang w:eastAsia="tr-TR"/>
              </w:rPr>
            </w:pPr>
            <w:r w:rsidRPr="00A76E9D">
              <w:rPr>
                <w:rFonts w:ascii="Calibri" w:eastAsia="Times New Roman" w:hAnsi="Calibri" w:cs="Calibri"/>
                <w:i/>
                <w:iCs/>
                <w:color w:val="000000"/>
                <w:sz w:val="16"/>
                <w:szCs w:val="16"/>
                <w:lang w:eastAsia="tr-TR"/>
              </w:rPr>
              <w:t>Ç</w:t>
            </w:r>
            <w:r w:rsidRPr="00A76E9D">
              <w:rPr>
                <w:rFonts w:ascii="Calibri" w:eastAsia="Times New Roman" w:hAnsi="Calibri" w:cs="Calibri"/>
                <w:b/>
                <w:bCs/>
                <w:i/>
                <w:iCs/>
                <w:color w:val="000000"/>
                <w:sz w:val="16"/>
                <w:szCs w:val="16"/>
                <w:lang w:eastAsia="tr-TR"/>
              </w:rPr>
              <w:t>eyrek &amp; Gün Sayısı</w:t>
            </w:r>
          </w:p>
        </w:tc>
        <w:tc>
          <w:tcPr>
            <w:tcW w:w="1780"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41DB5" w:rsidRPr="00A76E9D" w:rsidRDefault="00841DB5" w:rsidP="002335D4">
            <w:pPr>
              <w:spacing w:after="0" w:line="240" w:lineRule="auto"/>
              <w:jc w:val="center"/>
              <w:rPr>
                <w:rFonts w:ascii="Calibri" w:eastAsia="Times New Roman" w:hAnsi="Calibri" w:cs="Calibri"/>
                <w:b/>
                <w:bCs/>
                <w:i/>
                <w:iCs/>
                <w:color w:val="000000"/>
                <w:sz w:val="16"/>
                <w:szCs w:val="16"/>
                <w:lang w:eastAsia="tr-TR"/>
              </w:rPr>
            </w:pPr>
            <w:r>
              <w:rPr>
                <w:rFonts w:ascii="Calibri" w:eastAsia="Times New Roman" w:hAnsi="Calibri" w:cs="Calibri"/>
                <w:b/>
                <w:bCs/>
                <w:i/>
                <w:iCs/>
                <w:color w:val="000000"/>
                <w:sz w:val="16"/>
                <w:szCs w:val="16"/>
                <w:lang w:eastAsia="tr-TR"/>
              </w:rPr>
              <w:t>Yıllık Kontrat Piyasa Pozisyon Limitleri</w:t>
            </w:r>
            <w:r w:rsidRPr="00A76E9D">
              <w:rPr>
                <w:rFonts w:ascii="Calibri" w:eastAsia="Times New Roman" w:hAnsi="Calibri" w:cs="Calibri"/>
                <w:b/>
                <w:bCs/>
                <w:i/>
                <w:iCs/>
                <w:color w:val="000000"/>
                <w:sz w:val="16"/>
                <w:szCs w:val="16"/>
                <w:lang w:eastAsia="tr-TR"/>
              </w:rPr>
              <w:t xml:space="preserve"> (Lot)</w:t>
            </w:r>
          </w:p>
        </w:tc>
        <w:tc>
          <w:tcPr>
            <w:tcW w:w="2039"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41DB5" w:rsidRPr="00A76E9D" w:rsidRDefault="00841DB5" w:rsidP="002335D4">
            <w:pPr>
              <w:spacing w:after="0" w:line="240" w:lineRule="auto"/>
              <w:jc w:val="center"/>
              <w:rPr>
                <w:rFonts w:ascii="Calibri" w:eastAsia="Times New Roman" w:hAnsi="Calibri" w:cs="Calibri"/>
                <w:b/>
                <w:bCs/>
                <w:i/>
                <w:iCs/>
                <w:color w:val="000000"/>
                <w:sz w:val="16"/>
                <w:szCs w:val="16"/>
                <w:lang w:eastAsia="tr-TR"/>
              </w:rPr>
            </w:pPr>
            <w:r>
              <w:rPr>
                <w:rFonts w:ascii="Calibri" w:eastAsia="Times New Roman" w:hAnsi="Calibri" w:cs="Calibri"/>
                <w:b/>
                <w:bCs/>
                <w:i/>
                <w:iCs/>
                <w:color w:val="000000"/>
                <w:sz w:val="16"/>
                <w:szCs w:val="16"/>
                <w:lang w:eastAsia="tr-TR"/>
              </w:rPr>
              <w:t>Yıldan Çeyreklere</w:t>
            </w:r>
            <w:r w:rsidRPr="00A76E9D">
              <w:rPr>
                <w:rFonts w:ascii="Calibri" w:eastAsia="Times New Roman" w:hAnsi="Calibri" w:cs="Calibri"/>
                <w:b/>
                <w:bCs/>
                <w:i/>
                <w:iCs/>
                <w:color w:val="000000"/>
                <w:sz w:val="16"/>
                <w:szCs w:val="16"/>
                <w:lang w:eastAsia="tr-TR"/>
              </w:rPr>
              <w:t xml:space="preserve"> Basamaklandırılan Piyasa Pozisyon Limitleri (Lot)</w:t>
            </w:r>
          </w:p>
        </w:tc>
        <w:tc>
          <w:tcPr>
            <w:tcW w:w="1893"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41DB5" w:rsidRPr="00A76E9D" w:rsidRDefault="00841DB5" w:rsidP="002335D4">
            <w:pPr>
              <w:spacing w:after="0" w:line="240" w:lineRule="auto"/>
              <w:jc w:val="center"/>
              <w:rPr>
                <w:rFonts w:ascii="Calibri" w:eastAsia="Times New Roman" w:hAnsi="Calibri" w:cs="Calibri"/>
                <w:b/>
                <w:bCs/>
                <w:i/>
                <w:iCs/>
                <w:color w:val="000000"/>
                <w:sz w:val="16"/>
                <w:szCs w:val="16"/>
                <w:lang w:eastAsia="tr-TR"/>
              </w:rPr>
            </w:pPr>
            <w:r>
              <w:rPr>
                <w:rFonts w:ascii="Calibri" w:eastAsia="Times New Roman" w:hAnsi="Calibri" w:cs="Calibri"/>
                <w:b/>
                <w:bCs/>
                <w:i/>
                <w:iCs/>
                <w:color w:val="000000"/>
                <w:sz w:val="16"/>
                <w:szCs w:val="16"/>
                <w:lang w:eastAsia="tr-TR"/>
              </w:rPr>
              <w:t xml:space="preserve">Çeyrek </w:t>
            </w:r>
            <w:r w:rsidRPr="00A76E9D">
              <w:rPr>
                <w:rFonts w:ascii="Calibri" w:eastAsia="Times New Roman" w:hAnsi="Calibri" w:cs="Calibri"/>
                <w:b/>
                <w:bCs/>
                <w:i/>
                <w:iCs/>
                <w:color w:val="000000"/>
                <w:sz w:val="16"/>
                <w:szCs w:val="16"/>
                <w:lang w:eastAsia="tr-TR"/>
              </w:rPr>
              <w:t>Kontratları Piyasa Pozisyon Limitleri                     (Lot)</w:t>
            </w:r>
          </w:p>
        </w:tc>
        <w:tc>
          <w:tcPr>
            <w:tcW w:w="1963"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41DB5" w:rsidRPr="00A76E9D" w:rsidRDefault="00841DB5" w:rsidP="002335D4">
            <w:pPr>
              <w:spacing w:after="0" w:line="240" w:lineRule="auto"/>
              <w:jc w:val="center"/>
              <w:rPr>
                <w:rFonts w:ascii="Calibri" w:eastAsia="Times New Roman" w:hAnsi="Calibri" w:cs="Calibri"/>
                <w:b/>
                <w:bCs/>
                <w:i/>
                <w:iCs/>
                <w:color w:val="000000"/>
                <w:sz w:val="16"/>
                <w:szCs w:val="16"/>
                <w:lang w:eastAsia="tr-TR"/>
              </w:rPr>
            </w:pPr>
            <w:r w:rsidRPr="00A76E9D">
              <w:rPr>
                <w:rFonts w:ascii="Calibri" w:eastAsia="Times New Roman" w:hAnsi="Calibri" w:cs="Calibri"/>
                <w:b/>
                <w:bCs/>
                <w:i/>
                <w:iCs/>
                <w:color w:val="000000"/>
                <w:sz w:val="16"/>
                <w:szCs w:val="16"/>
                <w:lang w:eastAsia="tr-TR"/>
              </w:rPr>
              <w:t xml:space="preserve">Basamaklandrma Sonucu </w:t>
            </w:r>
            <w:r>
              <w:rPr>
                <w:rFonts w:ascii="Calibri" w:eastAsia="Times New Roman" w:hAnsi="Calibri" w:cs="Calibri"/>
                <w:b/>
                <w:bCs/>
                <w:i/>
                <w:iCs/>
                <w:color w:val="000000"/>
                <w:sz w:val="16"/>
                <w:szCs w:val="16"/>
                <w:lang w:eastAsia="tr-TR"/>
              </w:rPr>
              <w:t>Çeyreklik</w:t>
            </w:r>
            <w:r w:rsidRPr="00A76E9D">
              <w:rPr>
                <w:rFonts w:ascii="Calibri" w:eastAsia="Times New Roman" w:hAnsi="Calibri" w:cs="Calibri"/>
                <w:b/>
                <w:bCs/>
                <w:i/>
                <w:iCs/>
                <w:color w:val="000000"/>
                <w:sz w:val="16"/>
                <w:szCs w:val="16"/>
                <w:lang w:eastAsia="tr-TR"/>
              </w:rPr>
              <w:t xml:space="preserve"> Piyasa Pozisyon Limitleri (Lot)</w:t>
            </w:r>
          </w:p>
        </w:tc>
      </w:tr>
      <w:tr w:rsidR="00841DB5" w:rsidRPr="00A76E9D" w:rsidTr="002335D4">
        <w:trPr>
          <w:trHeight w:val="450"/>
        </w:trPr>
        <w:tc>
          <w:tcPr>
            <w:tcW w:w="1451"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41DB5" w:rsidRPr="00A76E9D" w:rsidRDefault="00841DB5" w:rsidP="002335D4">
            <w:pPr>
              <w:spacing w:after="0" w:line="240" w:lineRule="auto"/>
              <w:rPr>
                <w:rFonts w:ascii="Calibri" w:eastAsia="Times New Roman" w:hAnsi="Calibri" w:cs="Calibri"/>
                <w:i/>
                <w:iCs/>
                <w:color w:val="000000"/>
                <w:sz w:val="16"/>
                <w:szCs w:val="16"/>
                <w:lang w:eastAsia="tr-TR"/>
              </w:rPr>
            </w:pPr>
          </w:p>
        </w:tc>
        <w:tc>
          <w:tcPr>
            <w:tcW w:w="1780"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41DB5" w:rsidRPr="00A76E9D" w:rsidRDefault="00841DB5" w:rsidP="002335D4">
            <w:pPr>
              <w:spacing w:after="0" w:line="240" w:lineRule="auto"/>
              <w:rPr>
                <w:rFonts w:ascii="Calibri" w:eastAsia="Times New Roman" w:hAnsi="Calibri" w:cs="Calibri"/>
                <w:b/>
                <w:bCs/>
                <w:i/>
                <w:iCs/>
                <w:color w:val="000000"/>
                <w:sz w:val="16"/>
                <w:szCs w:val="16"/>
                <w:lang w:eastAsia="tr-TR"/>
              </w:rPr>
            </w:pPr>
          </w:p>
        </w:tc>
        <w:tc>
          <w:tcPr>
            <w:tcW w:w="2039"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41DB5" w:rsidRPr="00A76E9D" w:rsidRDefault="00841DB5" w:rsidP="002335D4">
            <w:pPr>
              <w:spacing w:after="0" w:line="240" w:lineRule="auto"/>
              <w:rPr>
                <w:rFonts w:ascii="Calibri" w:eastAsia="Times New Roman" w:hAnsi="Calibri" w:cs="Calibri"/>
                <w:b/>
                <w:bCs/>
                <w:i/>
                <w:iCs/>
                <w:color w:val="000000"/>
                <w:sz w:val="16"/>
                <w:szCs w:val="16"/>
                <w:lang w:eastAsia="tr-TR"/>
              </w:rPr>
            </w:pPr>
          </w:p>
        </w:tc>
        <w:tc>
          <w:tcPr>
            <w:tcW w:w="1893"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41DB5" w:rsidRPr="00A76E9D" w:rsidRDefault="00841DB5" w:rsidP="002335D4">
            <w:pPr>
              <w:spacing w:after="0" w:line="240" w:lineRule="auto"/>
              <w:rPr>
                <w:rFonts w:ascii="Calibri" w:eastAsia="Times New Roman" w:hAnsi="Calibri" w:cs="Calibri"/>
                <w:b/>
                <w:bCs/>
                <w:i/>
                <w:iCs/>
                <w:color w:val="000000"/>
                <w:sz w:val="16"/>
                <w:szCs w:val="16"/>
                <w:lang w:eastAsia="tr-TR"/>
              </w:rPr>
            </w:pPr>
          </w:p>
        </w:tc>
        <w:tc>
          <w:tcPr>
            <w:tcW w:w="1963"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41DB5" w:rsidRPr="00A76E9D" w:rsidRDefault="00841DB5" w:rsidP="002335D4">
            <w:pPr>
              <w:spacing w:after="0" w:line="240" w:lineRule="auto"/>
              <w:rPr>
                <w:rFonts w:ascii="Calibri" w:eastAsia="Times New Roman" w:hAnsi="Calibri" w:cs="Calibri"/>
                <w:b/>
                <w:bCs/>
                <w:i/>
                <w:iCs/>
                <w:color w:val="000000"/>
                <w:sz w:val="16"/>
                <w:szCs w:val="16"/>
                <w:lang w:eastAsia="tr-TR"/>
              </w:rPr>
            </w:pPr>
          </w:p>
        </w:tc>
      </w:tr>
      <w:tr w:rsidR="00841DB5" w:rsidRPr="00A76E9D" w:rsidTr="002335D4">
        <w:trPr>
          <w:trHeight w:val="316"/>
        </w:trPr>
        <w:tc>
          <w:tcPr>
            <w:tcW w:w="14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Çeyrek 1 (90)</w:t>
            </w:r>
          </w:p>
        </w:tc>
        <w:tc>
          <w:tcPr>
            <w:tcW w:w="1780"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vAlign w:val="center"/>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172.200.000</w:t>
            </w:r>
          </w:p>
        </w:tc>
        <w:tc>
          <w:tcPr>
            <w:tcW w:w="203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42.460.274</w:t>
            </w:r>
          </w:p>
        </w:tc>
        <w:tc>
          <w:tcPr>
            <w:tcW w:w="18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130.314.697</w:t>
            </w:r>
          </w:p>
        </w:tc>
        <w:tc>
          <w:tcPr>
            <w:tcW w:w="196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172.774.971</w:t>
            </w:r>
          </w:p>
        </w:tc>
      </w:tr>
      <w:tr w:rsidR="00841DB5" w:rsidRPr="00A76E9D" w:rsidTr="002335D4">
        <w:trPr>
          <w:trHeight w:val="316"/>
        </w:trPr>
        <w:tc>
          <w:tcPr>
            <w:tcW w:w="14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Çeyrek 2 (91)</w:t>
            </w:r>
          </w:p>
        </w:tc>
        <w:tc>
          <w:tcPr>
            <w:tcW w:w="1780" w:type="dxa"/>
            <w:vMerge/>
            <w:tcBorders>
              <w:left w:val="single" w:sz="4" w:space="0" w:color="BDD6EE" w:themeColor="accent1" w:themeTint="66"/>
              <w:right w:val="single" w:sz="4" w:space="0" w:color="BDD6EE" w:themeColor="accent1" w:themeTint="66"/>
            </w:tcBorders>
            <w:shd w:val="clear" w:color="auto" w:fill="auto"/>
            <w:noWrap/>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p>
        </w:tc>
        <w:tc>
          <w:tcPr>
            <w:tcW w:w="203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42.932.055</w:t>
            </w:r>
          </w:p>
        </w:tc>
        <w:tc>
          <w:tcPr>
            <w:tcW w:w="18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110.738.692</w:t>
            </w:r>
          </w:p>
        </w:tc>
        <w:tc>
          <w:tcPr>
            <w:tcW w:w="196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153.670.747</w:t>
            </w:r>
          </w:p>
        </w:tc>
      </w:tr>
      <w:tr w:rsidR="00841DB5" w:rsidRPr="00A76E9D" w:rsidTr="002335D4">
        <w:trPr>
          <w:trHeight w:val="316"/>
        </w:trPr>
        <w:tc>
          <w:tcPr>
            <w:tcW w:w="14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Çeyrek 3 (92)</w:t>
            </w:r>
          </w:p>
        </w:tc>
        <w:tc>
          <w:tcPr>
            <w:tcW w:w="1780" w:type="dxa"/>
            <w:vMerge/>
            <w:tcBorders>
              <w:left w:val="single" w:sz="4" w:space="0" w:color="BDD6EE" w:themeColor="accent1" w:themeTint="66"/>
              <w:right w:val="single" w:sz="4" w:space="0" w:color="BDD6EE" w:themeColor="accent1" w:themeTint="66"/>
            </w:tcBorders>
            <w:shd w:val="clear" w:color="auto" w:fill="auto"/>
            <w:noWrap/>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p>
        </w:tc>
        <w:tc>
          <w:tcPr>
            <w:tcW w:w="2039"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43.403.836</w:t>
            </w:r>
          </w:p>
        </w:tc>
        <w:tc>
          <w:tcPr>
            <w:tcW w:w="18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144.181.908</w:t>
            </w:r>
          </w:p>
        </w:tc>
        <w:tc>
          <w:tcPr>
            <w:tcW w:w="196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187.585.744</w:t>
            </w:r>
          </w:p>
        </w:tc>
      </w:tr>
      <w:tr w:rsidR="00841DB5" w:rsidRPr="00A76E9D" w:rsidTr="002335D4">
        <w:trPr>
          <w:trHeight w:val="316"/>
        </w:trPr>
        <w:tc>
          <w:tcPr>
            <w:tcW w:w="14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Çeyrek 4 (92)</w:t>
            </w:r>
          </w:p>
        </w:tc>
        <w:tc>
          <w:tcPr>
            <w:tcW w:w="1780" w:type="dxa"/>
            <w:vMerge/>
            <w:tcBorders>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p>
        </w:tc>
        <w:tc>
          <w:tcPr>
            <w:tcW w:w="203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43.403.836</w:t>
            </w:r>
          </w:p>
        </w:tc>
        <w:tc>
          <w:tcPr>
            <w:tcW w:w="18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131.364.703</w:t>
            </w:r>
          </w:p>
        </w:tc>
        <w:tc>
          <w:tcPr>
            <w:tcW w:w="196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tcPr>
          <w:p w:rsidR="00841DB5" w:rsidRPr="00A76E9D" w:rsidRDefault="00841DB5" w:rsidP="002335D4">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174.768.539</w:t>
            </w:r>
          </w:p>
        </w:tc>
      </w:tr>
    </w:tbl>
    <w:p w:rsidR="00841DB5" w:rsidRPr="0082481D" w:rsidRDefault="0066293C" w:rsidP="0082481D">
      <w:pPr>
        <w:pStyle w:val="Caption"/>
        <w:jc w:val="center"/>
        <w:rPr>
          <w:rFonts w:cstheme="minorHAnsi"/>
          <w:sz w:val="16"/>
        </w:rPr>
      </w:pPr>
      <w:bookmarkStart w:id="16" w:name="_Toc85098563"/>
      <w:r w:rsidRPr="002335D4">
        <w:rPr>
          <w:rFonts w:cstheme="minorHAnsi"/>
          <w:sz w:val="16"/>
        </w:rPr>
        <w:t xml:space="preserve">Tablo </w:t>
      </w:r>
      <w:r w:rsidRPr="002335D4">
        <w:rPr>
          <w:rFonts w:cstheme="minorHAnsi"/>
          <w:sz w:val="16"/>
        </w:rPr>
        <w:fldChar w:fldCharType="begin"/>
      </w:r>
      <w:r w:rsidRPr="002335D4">
        <w:rPr>
          <w:rFonts w:cstheme="minorHAnsi"/>
          <w:sz w:val="16"/>
        </w:rPr>
        <w:instrText xml:space="preserve"> SEQ Tablo \* ARABIC </w:instrText>
      </w:r>
      <w:r w:rsidRPr="002335D4">
        <w:rPr>
          <w:rFonts w:cstheme="minorHAnsi"/>
          <w:sz w:val="16"/>
        </w:rPr>
        <w:fldChar w:fldCharType="separate"/>
      </w:r>
      <w:r w:rsidR="00D12D06">
        <w:rPr>
          <w:rFonts w:cstheme="minorHAnsi"/>
          <w:noProof/>
          <w:sz w:val="16"/>
        </w:rPr>
        <w:t>8</w:t>
      </w:r>
      <w:r w:rsidRPr="002335D4">
        <w:rPr>
          <w:rFonts w:cstheme="minorHAnsi"/>
          <w:sz w:val="16"/>
        </w:rPr>
        <w:fldChar w:fldCharType="end"/>
      </w:r>
      <w:r w:rsidRPr="002335D4">
        <w:rPr>
          <w:rFonts w:cstheme="minorHAnsi"/>
          <w:sz w:val="16"/>
        </w:rPr>
        <w:t xml:space="preserve"> Basamaklandırma Sonucu Çeyreklik Piyasa Pozisyon Limitleri</w:t>
      </w:r>
      <w:bookmarkEnd w:id="16"/>
    </w:p>
    <w:p w:rsidR="00841DB5" w:rsidRDefault="00841DB5" w:rsidP="0082481D">
      <w:pPr>
        <w:jc w:val="both"/>
        <w:rPr>
          <w:rFonts w:cstheme="minorHAnsi"/>
        </w:rPr>
      </w:pPr>
    </w:p>
    <w:tbl>
      <w:tblPr>
        <w:tblW w:w="9326" w:type="dxa"/>
        <w:tblCellMar>
          <w:left w:w="70" w:type="dxa"/>
          <w:right w:w="70" w:type="dxa"/>
        </w:tblCellMar>
        <w:tblLook w:val="04A0" w:firstRow="1" w:lastRow="0" w:firstColumn="1" w:lastColumn="0" w:noHBand="0" w:noVBand="1"/>
      </w:tblPr>
      <w:tblGrid>
        <w:gridCol w:w="1322"/>
        <w:gridCol w:w="1273"/>
        <w:gridCol w:w="1561"/>
        <w:gridCol w:w="1788"/>
        <w:gridCol w:w="1660"/>
        <w:gridCol w:w="1722"/>
      </w:tblGrid>
      <w:tr w:rsidR="008F13ED" w:rsidRPr="00A76E9D" w:rsidTr="008F13ED">
        <w:trPr>
          <w:trHeight w:val="276"/>
        </w:trPr>
        <w:tc>
          <w:tcPr>
            <w:tcW w:w="1322"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F13ED" w:rsidRPr="00A76E9D" w:rsidRDefault="008F13ED" w:rsidP="00A76E9D">
            <w:pPr>
              <w:spacing w:after="0" w:line="240" w:lineRule="auto"/>
              <w:jc w:val="center"/>
              <w:rPr>
                <w:rFonts w:ascii="Calibri" w:eastAsia="Times New Roman" w:hAnsi="Calibri" w:cs="Calibri"/>
                <w:b/>
                <w:bCs/>
                <w:i/>
                <w:iCs/>
                <w:color w:val="000000"/>
                <w:sz w:val="16"/>
                <w:szCs w:val="16"/>
                <w:lang w:eastAsia="tr-TR"/>
              </w:rPr>
            </w:pPr>
            <w:r w:rsidRPr="00A76E9D">
              <w:rPr>
                <w:rFonts w:ascii="Calibri" w:eastAsia="Times New Roman" w:hAnsi="Calibri" w:cs="Calibri"/>
                <w:b/>
                <w:bCs/>
                <w:i/>
                <w:iCs/>
                <w:color w:val="000000"/>
                <w:sz w:val="16"/>
                <w:szCs w:val="16"/>
                <w:lang w:eastAsia="tr-TR"/>
              </w:rPr>
              <w:t>Ay &amp; Gün Sayısı</w:t>
            </w:r>
          </w:p>
        </w:tc>
        <w:tc>
          <w:tcPr>
            <w:tcW w:w="1273"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F13ED" w:rsidRPr="00A76E9D" w:rsidRDefault="008F13ED" w:rsidP="00A76E9D">
            <w:pPr>
              <w:spacing w:after="0" w:line="240" w:lineRule="auto"/>
              <w:jc w:val="center"/>
              <w:rPr>
                <w:rFonts w:ascii="Calibri" w:eastAsia="Times New Roman" w:hAnsi="Calibri" w:cs="Calibri"/>
                <w:i/>
                <w:iCs/>
                <w:color w:val="000000"/>
                <w:sz w:val="16"/>
                <w:szCs w:val="16"/>
                <w:lang w:eastAsia="tr-TR"/>
              </w:rPr>
            </w:pPr>
            <w:r w:rsidRPr="00A76E9D">
              <w:rPr>
                <w:rFonts w:ascii="Calibri" w:eastAsia="Times New Roman" w:hAnsi="Calibri" w:cs="Calibri"/>
                <w:i/>
                <w:iCs/>
                <w:color w:val="000000"/>
                <w:sz w:val="16"/>
                <w:szCs w:val="16"/>
                <w:lang w:eastAsia="tr-TR"/>
              </w:rPr>
              <w:t>Ç</w:t>
            </w:r>
            <w:r w:rsidRPr="00A76E9D">
              <w:rPr>
                <w:rFonts w:ascii="Calibri" w:eastAsia="Times New Roman" w:hAnsi="Calibri" w:cs="Calibri"/>
                <w:b/>
                <w:bCs/>
                <w:i/>
                <w:iCs/>
                <w:color w:val="000000"/>
                <w:sz w:val="16"/>
                <w:szCs w:val="16"/>
                <w:lang w:eastAsia="tr-TR"/>
              </w:rPr>
              <w:t>eyrek &amp; Gün Sayısı</w:t>
            </w:r>
          </w:p>
        </w:tc>
        <w:tc>
          <w:tcPr>
            <w:tcW w:w="1561"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F13ED" w:rsidRPr="00A76E9D" w:rsidRDefault="008F13ED" w:rsidP="00A76E9D">
            <w:pPr>
              <w:spacing w:after="0" w:line="240" w:lineRule="auto"/>
              <w:jc w:val="center"/>
              <w:rPr>
                <w:rFonts w:ascii="Calibri" w:eastAsia="Times New Roman" w:hAnsi="Calibri" w:cs="Calibri"/>
                <w:b/>
                <w:bCs/>
                <w:i/>
                <w:iCs/>
                <w:color w:val="000000"/>
                <w:sz w:val="16"/>
                <w:szCs w:val="16"/>
                <w:lang w:eastAsia="tr-TR"/>
              </w:rPr>
            </w:pPr>
            <w:r w:rsidRPr="00A76E9D">
              <w:rPr>
                <w:rFonts w:ascii="Calibri" w:eastAsia="Times New Roman" w:hAnsi="Calibri" w:cs="Calibri"/>
                <w:b/>
                <w:bCs/>
                <w:i/>
                <w:iCs/>
                <w:color w:val="000000"/>
                <w:sz w:val="16"/>
                <w:szCs w:val="16"/>
                <w:lang w:eastAsia="tr-TR"/>
              </w:rPr>
              <w:t>Çeyrek Kontratları Piyasa Pozisyon Limitleri (Lot)</w:t>
            </w:r>
          </w:p>
        </w:tc>
        <w:tc>
          <w:tcPr>
            <w:tcW w:w="1788"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F13ED" w:rsidRPr="00A76E9D" w:rsidRDefault="008F13ED" w:rsidP="00A76E9D">
            <w:pPr>
              <w:spacing w:after="0" w:line="240" w:lineRule="auto"/>
              <w:jc w:val="center"/>
              <w:rPr>
                <w:rFonts w:ascii="Calibri" w:eastAsia="Times New Roman" w:hAnsi="Calibri" w:cs="Calibri"/>
                <w:b/>
                <w:bCs/>
                <w:i/>
                <w:iCs/>
                <w:color w:val="000000"/>
                <w:sz w:val="16"/>
                <w:szCs w:val="16"/>
                <w:lang w:eastAsia="tr-TR"/>
              </w:rPr>
            </w:pPr>
            <w:r w:rsidRPr="00A76E9D">
              <w:rPr>
                <w:rFonts w:ascii="Calibri" w:eastAsia="Times New Roman" w:hAnsi="Calibri" w:cs="Calibri"/>
                <w:b/>
                <w:bCs/>
                <w:i/>
                <w:iCs/>
                <w:color w:val="000000"/>
                <w:sz w:val="16"/>
                <w:szCs w:val="16"/>
                <w:lang w:eastAsia="tr-TR"/>
              </w:rPr>
              <w:t>Çeyrekten Aylara Basamaklandırılan Piyasa Pozisyon Limitleri (Lot)</w:t>
            </w:r>
          </w:p>
        </w:tc>
        <w:tc>
          <w:tcPr>
            <w:tcW w:w="1660"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F13ED" w:rsidRPr="00A76E9D" w:rsidRDefault="008F13ED" w:rsidP="00A76E9D">
            <w:pPr>
              <w:spacing w:after="0" w:line="240" w:lineRule="auto"/>
              <w:jc w:val="center"/>
              <w:rPr>
                <w:rFonts w:ascii="Calibri" w:eastAsia="Times New Roman" w:hAnsi="Calibri" w:cs="Calibri"/>
                <w:b/>
                <w:bCs/>
                <w:i/>
                <w:iCs/>
                <w:color w:val="000000"/>
                <w:sz w:val="16"/>
                <w:szCs w:val="16"/>
                <w:lang w:eastAsia="tr-TR"/>
              </w:rPr>
            </w:pPr>
            <w:r w:rsidRPr="00A76E9D">
              <w:rPr>
                <w:rFonts w:ascii="Calibri" w:eastAsia="Times New Roman" w:hAnsi="Calibri" w:cs="Calibri"/>
                <w:b/>
                <w:bCs/>
                <w:i/>
                <w:iCs/>
                <w:color w:val="000000"/>
                <w:sz w:val="16"/>
                <w:szCs w:val="16"/>
                <w:lang w:eastAsia="tr-TR"/>
              </w:rPr>
              <w:t>Ay Kontratları Piyasa Pozisyon Limitleri                     (Lot)</w:t>
            </w:r>
          </w:p>
        </w:tc>
        <w:tc>
          <w:tcPr>
            <w:tcW w:w="1722" w:type="dxa"/>
            <w:vMerge w:val="restart"/>
            <w:tcBorders>
              <w:top w:val="single" w:sz="8" w:space="0" w:color="BDD6EE"/>
              <w:left w:val="single" w:sz="8" w:space="0" w:color="BDD6EE"/>
              <w:bottom w:val="single" w:sz="12" w:space="0" w:color="9CC2E5"/>
              <w:right w:val="single" w:sz="8" w:space="0" w:color="BDD6EE"/>
            </w:tcBorders>
            <w:shd w:val="clear" w:color="000000" w:fill="DEEAF6"/>
            <w:vAlign w:val="center"/>
            <w:hideMark/>
          </w:tcPr>
          <w:p w:rsidR="008F13ED" w:rsidRPr="00A76E9D" w:rsidRDefault="008F13ED" w:rsidP="00A76E9D">
            <w:pPr>
              <w:spacing w:after="0" w:line="240" w:lineRule="auto"/>
              <w:jc w:val="center"/>
              <w:rPr>
                <w:rFonts w:ascii="Calibri" w:eastAsia="Times New Roman" w:hAnsi="Calibri" w:cs="Calibri"/>
                <w:b/>
                <w:bCs/>
                <w:i/>
                <w:iCs/>
                <w:color w:val="000000"/>
                <w:sz w:val="16"/>
                <w:szCs w:val="16"/>
                <w:lang w:eastAsia="tr-TR"/>
              </w:rPr>
            </w:pPr>
            <w:r w:rsidRPr="00A76E9D">
              <w:rPr>
                <w:rFonts w:ascii="Calibri" w:eastAsia="Times New Roman" w:hAnsi="Calibri" w:cs="Calibri"/>
                <w:b/>
                <w:bCs/>
                <w:i/>
                <w:iCs/>
                <w:color w:val="000000"/>
                <w:sz w:val="16"/>
                <w:szCs w:val="16"/>
                <w:lang w:eastAsia="tr-TR"/>
              </w:rPr>
              <w:t>Basamaklandrma Sonucu Aylık Piyasa Pozisyon Limitleri (Lot)</w:t>
            </w:r>
          </w:p>
        </w:tc>
      </w:tr>
      <w:tr w:rsidR="008F13ED" w:rsidRPr="00A76E9D" w:rsidTr="008F13ED">
        <w:trPr>
          <w:trHeight w:val="450"/>
        </w:trPr>
        <w:tc>
          <w:tcPr>
            <w:tcW w:w="1322"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F13ED" w:rsidRPr="00A76E9D" w:rsidRDefault="008F13ED" w:rsidP="00A76E9D">
            <w:pPr>
              <w:spacing w:after="0" w:line="240" w:lineRule="auto"/>
              <w:rPr>
                <w:rFonts w:ascii="Calibri" w:eastAsia="Times New Roman" w:hAnsi="Calibri" w:cs="Calibri"/>
                <w:b/>
                <w:bCs/>
                <w:i/>
                <w:iCs/>
                <w:color w:val="000000"/>
                <w:sz w:val="16"/>
                <w:szCs w:val="16"/>
                <w:lang w:eastAsia="tr-TR"/>
              </w:rPr>
            </w:pPr>
          </w:p>
        </w:tc>
        <w:tc>
          <w:tcPr>
            <w:tcW w:w="1273"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F13ED" w:rsidRPr="00A76E9D" w:rsidRDefault="008F13ED" w:rsidP="00A76E9D">
            <w:pPr>
              <w:spacing w:after="0" w:line="240" w:lineRule="auto"/>
              <w:rPr>
                <w:rFonts w:ascii="Calibri" w:eastAsia="Times New Roman" w:hAnsi="Calibri" w:cs="Calibri"/>
                <w:i/>
                <w:iCs/>
                <w:color w:val="000000"/>
                <w:sz w:val="16"/>
                <w:szCs w:val="16"/>
                <w:lang w:eastAsia="tr-TR"/>
              </w:rPr>
            </w:pPr>
          </w:p>
        </w:tc>
        <w:tc>
          <w:tcPr>
            <w:tcW w:w="1561"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F13ED" w:rsidRPr="00A76E9D" w:rsidRDefault="008F13ED" w:rsidP="00A76E9D">
            <w:pPr>
              <w:spacing w:after="0" w:line="240" w:lineRule="auto"/>
              <w:rPr>
                <w:rFonts w:ascii="Calibri" w:eastAsia="Times New Roman" w:hAnsi="Calibri" w:cs="Calibri"/>
                <w:b/>
                <w:bCs/>
                <w:i/>
                <w:iCs/>
                <w:color w:val="000000"/>
                <w:sz w:val="16"/>
                <w:szCs w:val="16"/>
                <w:lang w:eastAsia="tr-TR"/>
              </w:rPr>
            </w:pPr>
          </w:p>
        </w:tc>
        <w:tc>
          <w:tcPr>
            <w:tcW w:w="1788"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F13ED" w:rsidRPr="00A76E9D" w:rsidRDefault="008F13ED" w:rsidP="00A76E9D">
            <w:pPr>
              <w:spacing w:after="0" w:line="240" w:lineRule="auto"/>
              <w:rPr>
                <w:rFonts w:ascii="Calibri" w:eastAsia="Times New Roman" w:hAnsi="Calibri" w:cs="Calibri"/>
                <w:b/>
                <w:bCs/>
                <w:i/>
                <w:iCs/>
                <w:color w:val="000000"/>
                <w:sz w:val="16"/>
                <w:szCs w:val="16"/>
                <w:lang w:eastAsia="tr-TR"/>
              </w:rPr>
            </w:pPr>
          </w:p>
        </w:tc>
        <w:tc>
          <w:tcPr>
            <w:tcW w:w="1660"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F13ED" w:rsidRPr="00A76E9D" w:rsidRDefault="008F13ED" w:rsidP="00A76E9D">
            <w:pPr>
              <w:spacing w:after="0" w:line="240" w:lineRule="auto"/>
              <w:rPr>
                <w:rFonts w:ascii="Calibri" w:eastAsia="Times New Roman" w:hAnsi="Calibri" w:cs="Calibri"/>
                <w:b/>
                <w:bCs/>
                <w:i/>
                <w:iCs/>
                <w:color w:val="000000"/>
                <w:sz w:val="16"/>
                <w:szCs w:val="16"/>
                <w:lang w:eastAsia="tr-TR"/>
              </w:rPr>
            </w:pPr>
          </w:p>
        </w:tc>
        <w:tc>
          <w:tcPr>
            <w:tcW w:w="1722" w:type="dxa"/>
            <w:vMerge/>
            <w:tcBorders>
              <w:top w:val="single" w:sz="8" w:space="0" w:color="BDD6EE"/>
              <w:left w:val="single" w:sz="8" w:space="0" w:color="BDD6EE"/>
              <w:bottom w:val="single" w:sz="4" w:space="0" w:color="BDD6EE" w:themeColor="accent1" w:themeTint="66"/>
              <w:right w:val="single" w:sz="8" w:space="0" w:color="BDD6EE"/>
            </w:tcBorders>
            <w:vAlign w:val="center"/>
            <w:hideMark/>
          </w:tcPr>
          <w:p w:rsidR="008F13ED" w:rsidRPr="00A76E9D" w:rsidRDefault="008F13ED" w:rsidP="00A76E9D">
            <w:pPr>
              <w:spacing w:after="0" w:line="240" w:lineRule="auto"/>
              <w:rPr>
                <w:rFonts w:ascii="Calibri" w:eastAsia="Times New Roman" w:hAnsi="Calibri" w:cs="Calibri"/>
                <w:b/>
                <w:bCs/>
                <w:i/>
                <w:iCs/>
                <w:color w:val="000000"/>
                <w:sz w:val="16"/>
                <w:szCs w:val="16"/>
                <w:lang w:eastAsia="tr-TR"/>
              </w:rPr>
            </w:pPr>
          </w:p>
        </w:tc>
      </w:tr>
      <w:tr w:rsidR="00903079" w:rsidRPr="00A76E9D" w:rsidTr="002335D4">
        <w:trPr>
          <w:trHeight w:val="88"/>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Ocak  (31)</w:t>
            </w:r>
          </w:p>
        </w:tc>
        <w:tc>
          <w:tcPr>
            <w:tcW w:w="1273"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Çeyrek 1 (90)</w:t>
            </w:r>
          </w:p>
        </w:tc>
        <w:tc>
          <w:tcPr>
            <w:tcW w:w="1561"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172.774.971</w:t>
            </w:r>
          </w:p>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59.511.379</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92.747.177</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152.258.556</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Şubat (28)</w:t>
            </w:r>
          </w:p>
        </w:tc>
        <w:tc>
          <w:tcPr>
            <w:tcW w:w="127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903079" w:rsidRPr="00A76E9D" w:rsidRDefault="00903079" w:rsidP="00903079">
            <w:pPr>
              <w:spacing w:after="0" w:line="240" w:lineRule="auto"/>
              <w:rPr>
                <w:rFonts w:ascii="Calibri" w:eastAsia="Times New Roman" w:hAnsi="Calibri" w:cs="Calibri"/>
                <w:color w:val="000000"/>
                <w:sz w:val="18"/>
                <w:szCs w:val="18"/>
                <w:lang w:eastAsia="tr-TR"/>
              </w:rPr>
            </w:pPr>
          </w:p>
        </w:tc>
        <w:tc>
          <w:tcPr>
            <w:tcW w:w="1561"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53.752.213</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88.243.238</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141.995.451</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Mart  (31)</w:t>
            </w:r>
          </w:p>
        </w:tc>
        <w:tc>
          <w:tcPr>
            <w:tcW w:w="127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903079" w:rsidRPr="00A76E9D" w:rsidRDefault="00903079" w:rsidP="00903079">
            <w:pPr>
              <w:spacing w:after="0" w:line="240" w:lineRule="auto"/>
              <w:rPr>
                <w:rFonts w:ascii="Calibri" w:eastAsia="Times New Roman" w:hAnsi="Calibri" w:cs="Calibri"/>
                <w:color w:val="000000"/>
                <w:sz w:val="18"/>
                <w:szCs w:val="18"/>
                <w:lang w:eastAsia="tr-TR"/>
              </w:rPr>
            </w:pPr>
          </w:p>
        </w:tc>
        <w:tc>
          <w:tcPr>
            <w:tcW w:w="1561"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59.511.379</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80.616.937</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140.128.316</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lastRenderedPageBreak/>
              <w:t>Nisan (30</w:t>
            </w:r>
          </w:p>
        </w:tc>
        <w:tc>
          <w:tcPr>
            <w:tcW w:w="1273"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Çeyrek 2 (91)</w:t>
            </w:r>
          </w:p>
        </w:tc>
        <w:tc>
          <w:tcPr>
            <w:tcW w:w="1561"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153.670.747</w:t>
            </w:r>
          </w:p>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50.660.686</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65.688.074</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116.348.760</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Mayıs (31)</w:t>
            </w:r>
          </w:p>
        </w:tc>
        <w:tc>
          <w:tcPr>
            <w:tcW w:w="127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903079" w:rsidRPr="00A76E9D" w:rsidRDefault="00903079" w:rsidP="00903079">
            <w:pPr>
              <w:spacing w:after="0" w:line="240" w:lineRule="auto"/>
              <w:rPr>
                <w:rFonts w:ascii="Calibri" w:eastAsia="Times New Roman" w:hAnsi="Calibri" w:cs="Calibri"/>
                <w:color w:val="000000"/>
                <w:sz w:val="18"/>
                <w:szCs w:val="18"/>
                <w:lang w:eastAsia="tr-TR"/>
              </w:rPr>
            </w:pPr>
          </w:p>
        </w:tc>
        <w:tc>
          <w:tcPr>
            <w:tcW w:w="1561"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52.349.375</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66.090.312</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118.439.687</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Haziran (30)</w:t>
            </w:r>
          </w:p>
        </w:tc>
        <w:tc>
          <w:tcPr>
            <w:tcW w:w="127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903079" w:rsidRPr="00A76E9D" w:rsidRDefault="00903079" w:rsidP="00903079">
            <w:pPr>
              <w:spacing w:after="0" w:line="240" w:lineRule="auto"/>
              <w:rPr>
                <w:rFonts w:ascii="Calibri" w:eastAsia="Times New Roman" w:hAnsi="Calibri" w:cs="Calibri"/>
                <w:color w:val="000000"/>
                <w:sz w:val="18"/>
                <w:szCs w:val="18"/>
                <w:lang w:eastAsia="tr-TR"/>
              </w:rPr>
            </w:pPr>
          </w:p>
        </w:tc>
        <w:tc>
          <w:tcPr>
            <w:tcW w:w="1561"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50.660.686</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83.679.839</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134.340.525</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Temmuz (31)</w:t>
            </w:r>
          </w:p>
        </w:tc>
        <w:tc>
          <w:tcPr>
            <w:tcW w:w="1273"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Çeyrek 3 (92)</w:t>
            </w:r>
          </w:p>
        </w:tc>
        <w:tc>
          <w:tcPr>
            <w:tcW w:w="1561"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187.585.744</w:t>
            </w:r>
          </w:p>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63.208.240</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97.878.447</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161.086.687</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Ağustos (31)</w:t>
            </w:r>
          </w:p>
        </w:tc>
        <w:tc>
          <w:tcPr>
            <w:tcW w:w="127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903079" w:rsidRPr="00A76E9D" w:rsidRDefault="00903079" w:rsidP="00903079">
            <w:pPr>
              <w:spacing w:after="0" w:line="240" w:lineRule="auto"/>
              <w:rPr>
                <w:rFonts w:ascii="Calibri" w:eastAsia="Times New Roman" w:hAnsi="Calibri" w:cs="Calibri"/>
                <w:color w:val="000000"/>
                <w:sz w:val="18"/>
                <w:szCs w:val="18"/>
                <w:lang w:eastAsia="tr-TR"/>
              </w:rPr>
            </w:pPr>
          </w:p>
        </w:tc>
        <w:tc>
          <w:tcPr>
            <w:tcW w:w="1561"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63.208.240</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100.411.003</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163.619.243</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Eylül (30)</w:t>
            </w:r>
          </w:p>
        </w:tc>
        <w:tc>
          <w:tcPr>
            <w:tcW w:w="127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903079" w:rsidRPr="00A76E9D" w:rsidRDefault="00903079" w:rsidP="00903079">
            <w:pPr>
              <w:spacing w:after="0" w:line="240" w:lineRule="auto"/>
              <w:rPr>
                <w:rFonts w:ascii="Calibri" w:eastAsia="Times New Roman" w:hAnsi="Calibri" w:cs="Calibri"/>
                <w:color w:val="000000"/>
                <w:sz w:val="18"/>
                <w:szCs w:val="18"/>
                <w:lang w:eastAsia="tr-TR"/>
              </w:rPr>
            </w:pPr>
          </w:p>
        </w:tc>
        <w:tc>
          <w:tcPr>
            <w:tcW w:w="1561"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61.169.264</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94.731.163</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155.900.427</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Ekim (31)</w:t>
            </w:r>
          </w:p>
        </w:tc>
        <w:tc>
          <w:tcPr>
            <w:tcW w:w="1273"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Çeyrek 4 (92)</w:t>
            </w:r>
          </w:p>
        </w:tc>
        <w:tc>
          <w:tcPr>
            <w:tcW w:w="1561"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174.768.539</w:t>
            </w:r>
          </w:p>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58.889.399</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82.745.724</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903079"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141.635.123</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Kasım (30)</w:t>
            </w:r>
          </w:p>
        </w:tc>
        <w:tc>
          <w:tcPr>
            <w:tcW w:w="127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903079" w:rsidRPr="00A76E9D" w:rsidRDefault="00903079" w:rsidP="00903079">
            <w:pPr>
              <w:spacing w:after="0" w:line="240" w:lineRule="auto"/>
              <w:rPr>
                <w:rFonts w:ascii="Calibri" w:eastAsia="Times New Roman" w:hAnsi="Calibri" w:cs="Calibri"/>
                <w:color w:val="000000"/>
                <w:sz w:val="18"/>
                <w:szCs w:val="18"/>
                <w:lang w:eastAsia="tr-TR"/>
              </w:rPr>
            </w:pPr>
          </w:p>
        </w:tc>
        <w:tc>
          <w:tcPr>
            <w:tcW w:w="1561"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56.989.741</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86.219.417</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143.209.158</w:t>
            </w:r>
          </w:p>
        </w:tc>
      </w:tr>
      <w:tr w:rsidR="00903079" w:rsidRPr="00A76E9D" w:rsidTr="002335D4">
        <w:trPr>
          <w:trHeight w:val="84"/>
        </w:trPr>
        <w:tc>
          <w:tcPr>
            <w:tcW w:w="13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vAlign w:val="center"/>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A76E9D">
              <w:rPr>
                <w:rFonts w:ascii="Calibri" w:eastAsia="Times New Roman" w:hAnsi="Calibri" w:cs="Calibri"/>
                <w:color w:val="000000"/>
                <w:sz w:val="18"/>
                <w:szCs w:val="18"/>
                <w:lang w:eastAsia="tr-TR"/>
              </w:rPr>
              <w:t>Aralık (31)</w:t>
            </w:r>
          </w:p>
        </w:tc>
        <w:tc>
          <w:tcPr>
            <w:tcW w:w="127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hideMark/>
          </w:tcPr>
          <w:p w:rsidR="00903079" w:rsidRPr="00A76E9D" w:rsidRDefault="00903079" w:rsidP="00903079">
            <w:pPr>
              <w:spacing w:after="0" w:line="240" w:lineRule="auto"/>
              <w:rPr>
                <w:rFonts w:ascii="Calibri" w:eastAsia="Times New Roman" w:hAnsi="Calibri" w:cs="Calibri"/>
                <w:color w:val="000000"/>
                <w:sz w:val="18"/>
                <w:szCs w:val="18"/>
                <w:lang w:eastAsia="tr-TR"/>
              </w:rPr>
            </w:pPr>
          </w:p>
        </w:tc>
        <w:tc>
          <w:tcPr>
            <w:tcW w:w="1561"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p>
        </w:tc>
        <w:tc>
          <w:tcPr>
            <w:tcW w:w="178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58.889.399</w:t>
            </w:r>
          </w:p>
        </w:tc>
        <w:tc>
          <w:tcPr>
            <w:tcW w:w="16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94.148.663</w:t>
            </w:r>
          </w:p>
        </w:tc>
        <w:tc>
          <w:tcPr>
            <w:tcW w:w="172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noWrap/>
            <w:hideMark/>
          </w:tcPr>
          <w:p w:rsidR="00903079" w:rsidRPr="00A76E9D" w:rsidRDefault="00903079" w:rsidP="00903079">
            <w:pPr>
              <w:spacing w:after="0" w:line="240" w:lineRule="auto"/>
              <w:jc w:val="center"/>
              <w:rPr>
                <w:rFonts w:ascii="Calibri" w:eastAsia="Times New Roman" w:hAnsi="Calibri" w:cs="Calibri"/>
                <w:color w:val="000000"/>
                <w:sz w:val="18"/>
                <w:szCs w:val="18"/>
                <w:lang w:eastAsia="tr-TR"/>
              </w:rPr>
            </w:pPr>
            <w:r w:rsidRPr="00903079">
              <w:rPr>
                <w:rFonts w:ascii="Calibri" w:eastAsia="Times New Roman" w:hAnsi="Calibri" w:cs="Calibri"/>
                <w:color w:val="000000"/>
                <w:sz w:val="18"/>
                <w:szCs w:val="18"/>
                <w:lang w:eastAsia="tr-TR"/>
              </w:rPr>
              <w:t>153.038.062</w:t>
            </w:r>
          </w:p>
        </w:tc>
      </w:tr>
    </w:tbl>
    <w:p w:rsidR="00313215" w:rsidRPr="002335D4" w:rsidRDefault="002335D4" w:rsidP="002335D4">
      <w:pPr>
        <w:pStyle w:val="Caption"/>
        <w:jc w:val="center"/>
        <w:rPr>
          <w:rFonts w:cstheme="minorHAnsi"/>
          <w:sz w:val="16"/>
        </w:rPr>
      </w:pPr>
      <w:bookmarkStart w:id="17" w:name="_Toc85098564"/>
      <w:r w:rsidRPr="002335D4">
        <w:rPr>
          <w:rFonts w:cstheme="minorHAnsi"/>
          <w:sz w:val="16"/>
        </w:rPr>
        <w:t xml:space="preserve">Tablo </w:t>
      </w:r>
      <w:r w:rsidRPr="002335D4">
        <w:rPr>
          <w:rFonts w:cstheme="minorHAnsi"/>
          <w:sz w:val="16"/>
        </w:rPr>
        <w:fldChar w:fldCharType="begin"/>
      </w:r>
      <w:r w:rsidRPr="002335D4">
        <w:rPr>
          <w:rFonts w:cstheme="minorHAnsi"/>
          <w:sz w:val="16"/>
        </w:rPr>
        <w:instrText xml:space="preserve"> SEQ Tablo \* ARABIC </w:instrText>
      </w:r>
      <w:r w:rsidRPr="002335D4">
        <w:rPr>
          <w:rFonts w:cstheme="minorHAnsi"/>
          <w:sz w:val="16"/>
        </w:rPr>
        <w:fldChar w:fldCharType="separate"/>
      </w:r>
      <w:r w:rsidR="00D12D06">
        <w:rPr>
          <w:rFonts w:cstheme="minorHAnsi"/>
          <w:noProof/>
          <w:sz w:val="16"/>
        </w:rPr>
        <w:t>9</w:t>
      </w:r>
      <w:r w:rsidRPr="002335D4">
        <w:rPr>
          <w:rFonts w:cstheme="minorHAnsi"/>
          <w:sz w:val="16"/>
        </w:rPr>
        <w:fldChar w:fldCharType="end"/>
      </w:r>
      <w:r w:rsidRPr="002335D4">
        <w:rPr>
          <w:rFonts w:cstheme="minorHAnsi"/>
          <w:sz w:val="16"/>
        </w:rPr>
        <w:t xml:space="preserve">  Basamaklandırma Sonucu Aylık Piyasa Pozisyon Limitleri</w:t>
      </w:r>
      <w:bookmarkEnd w:id="17"/>
    </w:p>
    <w:p w:rsidR="00313215" w:rsidRDefault="00313215" w:rsidP="00313215">
      <w:pPr>
        <w:rPr>
          <w:rFonts w:cstheme="minorHAnsi"/>
        </w:rPr>
      </w:pPr>
    </w:p>
    <w:p w:rsidR="00313215" w:rsidRPr="00684597" w:rsidRDefault="00313215" w:rsidP="00313215">
      <w:pPr>
        <w:pStyle w:val="Heading3"/>
        <w:rPr>
          <w:rFonts w:cstheme="majorHAnsi"/>
        </w:rPr>
      </w:pPr>
      <w:bookmarkStart w:id="18" w:name="_Toc85098598"/>
      <w:r w:rsidRPr="00684597">
        <w:rPr>
          <w:rFonts w:cstheme="majorHAnsi"/>
        </w:rPr>
        <w:t>Ayın Geri Kalanı</w:t>
      </w:r>
      <w:r w:rsidR="006B7684">
        <w:rPr>
          <w:rFonts w:cstheme="majorHAnsi"/>
        </w:rPr>
        <w:t xml:space="preserve"> (BOM)</w:t>
      </w:r>
      <w:r w:rsidRPr="00684597">
        <w:rPr>
          <w:rFonts w:cstheme="majorHAnsi"/>
        </w:rPr>
        <w:t xml:space="preserve"> Kontratları İçin Piyasa Pozisyon Limitlerinin Belirlenmesi</w:t>
      </w:r>
      <w:bookmarkEnd w:id="18"/>
    </w:p>
    <w:p w:rsidR="0066293C" w:rsidRDefault="00313215" w:rsidP="00AD13B0">
      <w:pPr>
        <w:ind w:firstLine="708"/>
        <w:jc w:val="both"/>
        <w:rPr>
          <w:rFonts w:cstheme="minorHAnsi"/>
        </w:rPr>
      </w:pPr>
      <w:r w:rsidRPr="00313215">
        <w:rPr>
          <w:rFonts w:cstheme="minorHAnsi"/>
        </w:rPr>
        <w:t>Ayın geri kalanı (BOM) kontratları ay ko</w:t>
      </w:r>
      <w:r w:rsidR="006B7684">
        <w:rPr>
          <w:rFonts w:cstheme="minorHAnsi"/>
        </w:rPr>
        <w:t>ntratının kapanması ile açılabilecek</w:t>
      </w:r>
      <w:r w:rsidRPr="00313215">
        <w:rPr>
          <w:rFonts w:cstheme="minorHAnsi"/>
        </w:rPr>
        <w:t xml:space="preserve"> kontratlardır. Ayın geri kalanı kontratları için</w:t>
      </w:r>
      <w:r w:rsidR="006B7684">
        <w:rPr>
          <w:rFonts w:cstheme="minorHAnsi"/>
        </w:rPr>
        <w:t xml:space="preserve"> piyasa</w:t>
      </w:r>
      <w:r w:rsidRPr="00313215">
        <w:rPr>
          <w:rFonts w:cstheme="minorHAnsi"/>
        </w:rPr>
        <w:t xml:space="preserve"> pozisyon limitleri, kapanan ay kontratı</w:t>
      </w:r>
      <w:r w:rsidR="006B7684">
        <w:rPr>
          <w:rFonts w:cstheme="minorHAnsi"/>
        </w:rPr>
        <w:t xml:space="preserve"> piyasa</w:t>
      </w:r>
      <w:r w:rsidRPr="00313215">
        <w:rPr>
          <w:rFonts w:cstheme="minorHAnsi"/>
        </w:rPr>
        <w:t xml:space="preserve"> pozisyon limitinin aydaki gün sayısına eşit olarak bölünmesi ve ayın geri kalanı kontratının kapsadığı gün sayısının çarpımı ile hesaplanır. Örneğin</w:t>
      </w:r>
      <w:r w:rsidR="006B7684">
        <w:rPr>
          <w:rFonts w:cstheme="minorHAnsi"/>
        </w:rPr>
        <w:t>;</w:t>
      </w:r>
      <w:r w:rsidRPr="00313215">
        <w:rPr>
          <w:rFonts w:cstheme="minorHAnsi"/>
        </w:rPr>
        <w:t xml:space="preserve"> Temmuz ayı basamaklandırma sonrası </w:t>
      </w:r>
      <w:r w:rsidR="006B7684">
        <w:rPr>
          <w:rFonts w:cstheme="minorHAnsi"/>
        </w:rPr>
        <w:t xml:space="preserve">piyasa </w:t>
      </w:r>
      <w:r w:rsidRPr="00313215">
        <w:rPr>
          <w:rFonts w:cstheme="minorHAnsi"/>
        </w:rPr>
        <w:t>pozisyon</w:t>
      </w:r>
      <w:r w:rsidR="006B7684">
        <w:rPr>
          <w:rFonts w:cstheme="minorHAnsi"/>
        </w:rPr>
        <w:t xml:space="preserve"> limiti</w:t>
      </w:r>
      <w:r w:rsidR="00DD5FCF">
        <w:rPr>
          <w:rFonts w:cstheme="minorHAnsi"/>
        </w:rPr>
        <w:t xml:space="preserve"> miktarı 16.108</w:t>
      </w:r>
      <w:r w:rsidRPr="00313215">
        <w:rPr>
          <w:rFonts w:cstheme="minorHAnsi"/>
        </w:rPr>
        <w:t xml:space="preserve"> GWh</w:t>
      </w:r>
      <w:r w:rsidR="002E1C24">
        <w:rPr>
          <w:rFonts w:cstheme="minorHAnsi"/>
        </w:rPr>
        <w:t>’</w:t>
      </w:r>
      <w:r w:rsidRPr="00313215">
        <w:rPr>
          <w:rFonts w:cstheme="minorHAnsi"/>
        </w:rPr>
        <w:t xml:space="preserve">tir. Temmuz ayı </w:t>
      </w:r>
      <w:r w:rsidR="006B7684">
        <w:rPr>
          <w:rFonts w:cstheme="minorHAnsi"/>
        </w:rPr>
        <w:t xml:space="preserve">piyasa </w:t>
      </w:r>
      <w:r w:rsidRPr="00313215">
        <w:rPr>
          <w:rFonts w:cstheme="minorHAnsi"/>
        </w:rPr>
        <w:t xml:space="preserve">pozisyon limitinin gün sayısına bölünmesi ile günlük </w:t>
      </w:r>
      <w:r w:rsidR="006B7684">
        <w:rPr>
          <w:rFonts w:cstheme="minorHAnsi"/>
        </w:rPr>
        <w:t xml:space="preserve">piyasa </w:t>
      </w:r>
      <w:r w:rsidRPr="00313215">
        <w:rPr>
          <w:rFonts w:cstheme="minorHAnsi"/>
        </w:rPr>
        <w:t>pozisyon limit</w:t>
      </w:r>
      <w:r w:rsidR="006B7684">
        <w:rPr>
          <w:rFonts w:cstheme="minorHAnsi"/>
        </w:rPr>
        <w:t>i</w:t>
      </w:r>
      <w:r w:rsidR="00CA4FB8">
        <w:rPr>
          <w:rFonts w:cstheme="minorHAnsi"/>
        </w:rPr>
        <w:t xml:space="preserve"> </w:t>
      </w:r>
      <w:r w:rsidR="00DD5FCF">
        <w:rPr>
          <w:rFonts w:cstheme="minorHAnsi"/>
        </w:rPr>
        <w:t>520</w:t>
      </w:r>
      <w:r w:rsidRPr="00313215">
        <w:rPr>
          <w:rFonts w:cstheme="minorHAnsi"/>
        </w:rPr>
        <w:t xml:space="preserve"> GWh olarak hesaplanır. İlgili ayın 2. gününden b</w:t>
      </w:r>
      <w:r w:rsidR="002E1C24">
        <w:rPr>
          <w:rFonts w:cstheme="minorHAnsi"/>
        </w:rPr>
        <w:t>aşlayarak son gününü kapsayan ay</w:t>
      </w:r>
      <w:r w:rsidRPr="00313215">
        <w:rPr>
          <w:rFonts w:cstheme="minorHAnsi"/>
        </w:rPr>
        <w:t xml:space="preserve">ın geri kalanı kontratı </w:t>
      </w:r>
      <w:r w:rsidR="006B7684">
        <w:rPr>
          <w:rFonts w:cstheme="minorHAnsi"/>
        </w:rPr>
        <w:t xml:space="preserve">piyasa </w:t>
      </w:r>
      <w:r w:rsidRPr="00313215">
        <w:rPr>
          <w:rFonts w:cstheme="minorHAnsi"/>
        </w:rPr>
        <w:t>poz</w:t>
      </w:r>
      <w:r w:rsidR="00DD5FCF">
        <w:rPr>
          <w:rFonts w:cstheme="minorHAnsi"/>
        </w:rPr>
        <w:t>isyon limiti 520*30=15.589</w:t>
      </w:r>
      <w:r w:rsidRPr="00313215">
        <w:rPr>
          <w:rFonts w:cstheme="minorHAnsi"/>
        </w:rPr>
        <w:t xml:space="preserve"> GWh olarak hesaplanır. Aşağıda Temmuz ayı geri kalanı kontratları pozisyon limitleri yer almaktadır.  </w:t>
      </w:r>
    </w:p>
    <w:p w:rsidR="0066293C" w:rsidRDefault="0066293C" w:rsidP="00AD13B0">
      <w:pPr>
        <w:ind w:firstLine="708"/>
        <w:jc w:val="both"/>
        <w:rPr>
          <w:rFonts w:cstheme="minorHAnsi"/>
        </w:rPr>
      </w:pPr>
    </w:p>
    <w:tbl>
      <w:tblPr>
        <w:tblW w:w="8998" w:type="dxa"/>
        <w:tblInd w:w="-10" w:type="dxa"/>
        <w:tblCellMar>
          <w:left w:w="70" w:type="dxa"/>
          <w:right w:w="70" w:type="dxa"/>
        </w:tblCellMar>
        <w:tblLook w:val="04A0" w:firstRow="1" w:lastRow="0" w:firstColumn="1" w:lastColumn="0" w:noHBand="0" w:noVBand="1"/>
      </w:tblPr>
      <w:tblGrid>
        <w:gridCol w:w="2723"/>
        <w:gridCol w:w="1349"/>
        <w:gridCol w:w="1439"/>
        <w:gridCol w:w="1935"/>
        <w:gridCol w:w="1552"/>
      </w:tblGrid>
      <w:tr w:rsidR="00FC02EB" w:rsidRPr="00FC02EB" w:rsidTr="000532DB">
        <w:trPr>
          <w:trHeight w:val="250"/>
        </w:trPr>
        <w:tc>
          <w:tcPr>
            <w:tcW w:w="2723" w:type="dxa"/>
            <w:tcBorders>
              <w:top w:val="single" w:sz="8" w:space="0" w:color="BDD6EE"/>
              <w:left w:val="single" w:sz="8" w:space="0" w:color="BDD6EE"/>
              <w:bottom w:val="single" w:sz="12" w:space="0" w:color="9CC2E5"/>
              <w:right w:val="single" w:sz="8" w:space="0" w:color="BDD6EE"/>
            </w:tcBorders>
            <w:shd w:val="clear" w:color="000000" w:fill="DEEAF6"/>
            <w:noWrap/>
            <w:vAlign w:val="center"/>
            <w:hideMark/>
          </w:tcPr>
          <w:p w:rsidR="00FC02EB" w:rsidRPr="00FC02EB" w:rsidRDefault="00FC02EB" w:rsidP="00FC02EB">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Ayın Geri Kalanı Kontrat Adı</w:t>
            </w:r>
          </w:p>
        </w:tc>
        <w:tc>
          <w:tcPr>
            <w:tcW w:w="1349" w:type="dxa"/>
            <w:tcBorders>
              <w:top w:val="single" w:sz="8" w:space="0" w:color="BDD6EE"/>
              <w:left w:val="nil"/>
              <w:bottom w:val="single" w:sz="12" w:space="0" w:color="9CC2E5"/>
              <w:right w:val="single" w:sz="8" w:space="0" w:color="BDD6EE"/>
            </w:tcBorders>
            <w:shd w:val="clear" w:color="000000" w:fill="DEEAF6"/>
            <w:noWrap/>
            <w:vAlign w:val="center"/>
            <w:hideMark/>
          </w:tcPr>
          <w:p w:rsidR="00FC02EB" w:rsidRPr="00FC02EB" w:rsidRDefault="00FC02EB" w:rsidP="00FC02EB">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MWh</w:t>
            </w:r>
          </w:p>
        </w:tc>
        <w:tc>
          <w:tcPr>
            <w:tcW w:w="1439" w:type="dxa"/>
            <w:tcBorders>
              <w:top w:val="single" w:sz="8" w:space="0" w:color="BDD6EE"/>
              <w:left w:val="nil"/>
              <w:bottom w:val="single" w:sz="12" w:space="0" w:color="9CC2E5"/>
              <w:right w:val="single" w:sz="8" w:space="0" w:color="BDD6EE"/>
            </w:tcBorders>
            <w:shd w:val="clear" w:color="000000" w:fill="DEEAF6"/>
            <w:noWrap/>
            <w:vAlign w:val="center"/>
            <w:hideMark/>
          </w:tcPr>
          <w:p w:rsidR="00FC02EB" w:rsidRPr="00FC02EB" w:rsidRDefault="00FC02EB" w:rsidP="00FC02EB">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MW</w:t>
            </w:r>
          </w:p>
        </w:tc>
        <w:tc>
          <w:tcPr>
            <w:tcW w:w="1935" w:type="dxa"/>
            <w:tcBorders>
              <w:top w:val="single" w:sz="8" w:space="0" w:color="BDD6EE"/>
              <w:left w:val="nil"/>
              <w:bottom w:val="single" w:sz="12" w:space="0" w:color="9CC2E5"/>
              <w:right w:val="single" w:sz="8" w:space="0" w:color="BDD6EE"/>
            </w:tcBorders>
            <w:shd w:val="clear" w:color="000000" w:fill="DEEAF6"/>
            <w:noWrap/>
            <w:vAlign w:val="center"/>
            <w:hideMark/>
          </w:tcPr>
          <w:p w:rsidR="00FC02EB" w:rsidRPr="00FC02EB" w:rsidRDefault="00FC02EB" w:rsidP="00FC02EB">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Lot</w:t>
            </w:r>
          </w:p>
        </w:tc>
        <w:tc>
          <w:tcPr>
            <w:tcW w:w="1552" w:type="dxa"/>
            <w:tcBorders>
              <w:top w:val="single" w:sz="8" w:space="0" w:color="BDD6EE"/>
              <w:left w:val="nil"/>
              <w:bottom w:val="single" w:sz="12" w:space="0" w:color="9CC2E5"/>
              <w:right w:val="single" w:sz="8" w:space="0" w:color="BDD6EE"/>
            </w:tcBorders>
            <w:shd w:val="clear" w:color="000000" w:fill="DEEAF6"/>
            <w:noWrap/>
            <w:vAlign w:val="center"/>
            <w:hideMark/>
          </w:tcPr>
          <w:p w:rsidR="00FC02EB" w:rsidRPr="00FC02EB" w:rsidRDefault="00FC02EB" w:rsidP="00FC02EB">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Saatlik Lot</w:t>
            </w:r>
          </w:p>
        </w:tc>
      </w:tr>
      <w:tr w:rsidR="0094552D" w:rsidRPr="00FC02EB" w:rsidTr="002335D4">
        <w:trPr>
          <w:trHeight w:val="261"/>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EBBOM0721-02</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15.589.034</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155.890.342</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EBBOM0721-03</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15.069.400</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150.693.998</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EBBOM0721-04</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14.549.765</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145.497.653</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EBBOM0721-05</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14.030.131</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140.301.308</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EBBOM0721-06</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13.510.496</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135.104.963</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EBBOM0721-07</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12.990.862</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129.908.619</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EBBOM0721-08</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12.471.227</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124.712.274</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EBBOM0721-09</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11.951.593</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119.515.929</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EBBOM0721-10</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11.431.958</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114.319.584</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EBBOM0721-11</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10.912.324</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109.123.240</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EBBOM0721-12</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10.392.689</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103.926.895</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EBBOM0721-13</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9.873.055</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98.730.550</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EBBOM0721-14</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9.353.421</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93.534.205</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EBBOM0721-15</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8.833.786</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88.337.861</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EBBOM0721-16</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8.314.152</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83.141.516</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EBBOM0721-17</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7.794.517</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77.945.171</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EBBOM0721-18</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7.274.883</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72.748.826</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EBBOM0721-19</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6.755.248</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67.552.482</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EBBOM0721-20</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6.235.614</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62.356.137</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EBBOM0721-21</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5.715.979</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57.159.792</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EBBOM0721-22</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5.196.345</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51.963.447</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EBBOM0721-23</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4.676.710</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46.767.103</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EBBOM0721-24</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4.157.076</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41.570.758</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EBBOM0721-25</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3.637.441</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36.374.413</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EBBOM0721-26</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3.117.807</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31.178.068</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EBBOM0721-27</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2.598.172</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25.981.724</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lastRenderedPageBreak/>
              <w:t>EBBOM0721-28</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2.078.538</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20.785.379</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EBBOM0721-29</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1.558.903</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15.589.034</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EBBOM0721-30</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1.039.269</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10.392.689</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r w:rsidR="0094552D" w:rsidRPr="00FC02EB" w:rsidTr="002335D4">
        <w:trPr>
          <w:trHeight w:val="250"/>
        </w:trPr>
        <w:tc>
          <w:tcPr>
            <w:tcW w:w="2723" w:type="dxa"/>
            <w:tcBorders>
              <w:top w:val="nil"/>
              <w:left w:val="single" w:sz="8" w:space="0" w:color="BDD6EE"/>
              <w:bottom w:val="single" w:sz="8" w:space="0" w:color="BDD6EE"/>
              <w:right w:val="single" w:sz="8" w:space="0" w:color="BDD6EE"/>
            </w:tcBorders>
            <w:shd w:val="clear" w:color="auto" w:fill="auto"/>
            <w:noWrap/>
            <w:vAlign w:val="center"/>
            <w:hideMark/>
          </w:tcPr>
          <w:p w:rsidR="0094552D" w:rsidRPr="00FC02EB" w:rsidRDefault="0094552D" w:rsidP="0094552D">
            <w:pPr>
              <w:spacing w:after="0" w:line="240" w:lineRule="auto"/>
              <w:jc w:val="center"/>
              <w:rPr>
                <w:rFonts w:ascii="Calibri" w:eastAsia="Times New Roman" w:hAnsi="Calibri" w:cs="Calibri"/>
                <w:b/>
                <w:bCs/>
                <w:color w:val="000000"/>
                <w:sz w:val="20"/>
                <w:szCs w:val="20"/>
                <w:lang w:eastAsia="tr-TR"/>
              </w:rPr>
            </w:pPr>
            <w:r w:rsidRPr="00FC02EB">
              <w:rPr>
                <w:rFonts w:ascii="Calibri" w:eastAsia="Times New Roman" w:hAnsi="Calibri" w:cs="Calibri"/>
                <w:b/>
                <w:bCs/>
                <w:color w:val="000000"/>
                <w:sz w:val="20"/>
                <w:szCs w:val="20"/>
                <w:lang w:eastAsia="tr-TR"/>
              </w:rPr>
              <w:t>EBBOM0721-31</w:t>
            </w:r>
          </w:p>
        </w:tc>
        <w:tc>
          <w:tcPr>
            <w:tcW w:w="1349"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519.634</w:t>
            </w:r>
          </w:p>
        </w:tc>
        <w:tc>
          <w:tcPr>
            <w:tcW w:w="1439"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w:t>
            </w:r>
          </w:p>
        </w:tc>
        <w:tc>
          <w:tcPr>
            <w:tcW w:w="1935" w:type="dxa"/>
            <w:tcBorders>
              <w:top w:val="nil"/>
              <w:left w:val="nil"/>
              <w:bottom w:val="single" w:sz="8" w:space="0" w:color="BDD6EE"/>
              <w:right w:val="single" w:sz="8" w:space="0" w:color="BDD6EE"/>
            </w:tcBorders>
            <w:shd w:val="clear" w:color="auto" w:fill="auto"/>
            <w:noWrap/>
            <w:hideMark/>
          </w:tcPr>
          <w:p w:rsidR="0094552D" w:rsidRPr="0066293C" w:rsidRDefault="0094552D" w:rsidP="0094552D">
            <w:pPr>
              <w:spacing w:after="0" w:line="240" w:lineRule="auto"/>
              <w:jc w:val="center"/>
              <w:rPr>
                <w:rFonts w:ascii="Calibri" w:eastAsia="Times New Roman" w:hAnsi="Calibri" w:cs="Calibri"/>
                <w:color w:val="000000"/>
                <w:sz w:val="18"/>
                <w:szCs w:val="18"/>
                <w:lang w:eastAsia="tr-TR"/>
              </w:rPr>
            </w:pPr>
            <w:r w:rsidRPr="0066293C">
              <w:rPr>
                <w:rFonts w:ascii="Calibri" w:eastAsia="Times New Roman" w:hAnsi="Calibri" w:cs="Calibri"/>
                <w:color w:val="000000"/>
                <w:sz w:val="18"/>
                <w:szCs w:val="18"/>
                <w:lang w:eastAsia="tr-TR"/>
              </w:rPr>
              <w:t>5.196.345</w:t>
            </w:r>
          </w:p>
        </w:tc>
        <w:tc>
          <w:tcPr>
            <w:tcW w:w="1552" w:type="dxa"/>
            <w:tcBorders>
              <w:top w:val="nil"/>
              <w:left w:val="nil"/>
              <w:bottom w:val="single" w:sz="8" w:space="0" w:color="BDD6EE"/>
              <w:right w:val="single" w:sz="8" w:space="0" w:color="BDD6EE"/>
            </w:tcBorders>
            <w:shd w:val="clear" w:color="auto" w:fill="auto"/>
            <w:noWrap/>
            <w:hideMark/>
          </w:tcPr>
          <w:p w:rsidR="0094552D" w:rsidRPr="0094552D" w:rsidRDefault="0094552D" w:rsidP="0094552D">
            <w:pPr>
              <w:spacing w:after="0" w:line="240" w:lineRule="auto"/>
              <w:jc w:val="center"/>
              <w:rPr>
                <w:rFonts w:ascii="Calibri" w:eastAsia="Times New Roman" w:hAnsi="Calibri" w:cs="Calibri"/>
                <w:color w:val="000000"/>
                <w:sz w:val="18"/>
                <w:szCs w:val="18"/>
                <w:lang w:eastAsia="tr-TR"/>
              </w:rPr>
            </w:pPr>
            <w:r w:rsidRPr="0094552D">
              <w:rPr>
                <w:rFonts w:ascii="Calibri" w:eastAsia="Times New Roman" w:hAnsi="Calibri" w:cs="Calibri"/>
                <w:color w:val="000000"/>
                <w:sz w:val="18"/>
                <w:szCs w:val="18"/>
                <w:lang w:eastAsia="tr-TR"/>
              </w:rPr>
              <w:t>216514</w:t>
            </w:r>
          </w:p>
        </w:tc>
      </w:tr>
    </w:tbl>
    <w:p w:rsidR="00313215" w:rsidRPr="00313215" w:rsidRDefault="00313215" w:rsidP="00313215">
      <w:pPr>
        <w:pStyle w:val="Caption"/>
        <w:jc w:val="center"/>
        <w:rPr>
          <w:rFonts w:cstheme="minorHAnsi"/>
        </w:rPr>
      </w:pPr>
      <w:bookmarkStart w:id="19" w:name="_Toc85098565"/>
      <w:r w:rsidRPr="00313215">
        <w:rPr>
          <w:rFonts w:cstheme="minorHAnsi"/>
        </w:rPr>
        <w:t xml:space="preserve">Tablo </w:t>
      </w:r>
      <w:r w:rsidR="00B56224">
        <w:rPr>
          <w:rFonts w:cstheme="minorHAnsi"/>
        </w:rPr>
        <w:fldChar w:fldCharType="begin"/>
      </w:r>
      <w:r w:rsidR="00B56224">
        <w:rPr>
          <w:rFonts w:cstheme="minorHAnsi"/>
        </w:rPr>
        <w:instrText xml:space="preserve"> SEQ Tablo \* ARABIC </w:instrText>
      </w:r>
      <w:r w:rsidR="00B56224">
        <w:rPr>
          <w:rFonts w:cstheme="minorHAnsi"/>
        </w:rPr>
        <w:fldChar w:fldCharType="separate"/>
      </w:r>
      <w:r w:rsidR="00D12D06">
        <w:rPr>
          <w:rFonts w:cstheme="minorHAnsi"/>
          <w:noProof/>
        </w:rPr>
        <w:t>10</w:t>
      </w:r>
      <w:r w:rsidR="00B56224">
        <w:rPr>
          <w:rFonts w:cstheme="minorHAnsi"/>
        </w:rPr>
        <w:fldChar w:fldCharType="end"/>
      </w:r>
      <w:r w:rsidRPr="00313215">
        <w:rPr>
          <w:rFonts w:cstheme="minorHAnsi"/>
        </w:rPr>
        <w:t xml:space="preserve"> Ayın Geri Kalanı Kontratları Pozisyon Limitleri Örneği</w:t>
      </w:r>
      <w:bookmarkEnd w:id="19"/>
    </w:p>
    <w:p w:rsidR="005E3089" w:rsidRDefault="005E3089" w:rsidP="00313215">
      <w:pPr>
        <w:rPr>
          <w:rFonts w:cstheme="minorHAnsi"/>
        </w:rPr>
      </w:pPr>
    </w:p>
    <w:p w:rsidR="00313215" w:rsidRPr="00684597" w:rsidRDefault="00313215" w:rsidP="00313215">
      <w:pPr>
        <w:pStyle w:val="Heading2"/>
        <w:rPr>
          <w:rFonts w:cstheme="majorHAnsi"/>
        </w:rPr>
      </w:pPr>
      <w:bookmarkStart w:id="20" w:name="_Toc85098599"/>
      <w:r w:rsidRPr="00684597">
        <w:rPr>
          <w:rFonts w:cstheme="majorHAnsi"/>
        </w:rPr>
        <w:t>Katılımcı Pozisyon Limitlerinin Belirlenmesi</w:t>
      </w:r>
      <w:bookmarkEnd w:id="20"/>
    </w:p>
    <w:p w:rsidR="00A77E7C" w:rsidRPr="00313215" w:rsidRDefault="00A77E7C" w:rsidP="00A77E7C">
      <w:pPr>
        <w:ind w:firstLine="708"/>
        <w:jc w:val="both"/>
        <w:rPr>
          <w:rFonts w:cstheme="minorHAnsi"/>
        </w:rPr>
      </w:pPr>
      <w:r w:rsidRPr="007538C0">
        <w:rPr>
          <w:rFonts w:cstheme="minorHAnsi"/>
          <w:bCs/>
        </w:rPr>
        <w:t>Vadeli Elektrik Piyasası Yöntemi</w:t>
      </w:r>
      <w:r w:rsidR="00C32A56">
        <w:rPr>
          <w:rFonts w:cstheme="minorHAnsi"/>
          <w:bCs/>
        </w:rPr>
        <w:t>nin</w:t>
      </w:r>
      <w:r w:rsidRPr="007538C0">
        <w:rPr>
          <w:rFonts w:cstheme="minorHAnsi"/>
          <w:bCs/>
        </w:rPr>
        <w:t xml:space="preserve"> </w:t>
      </w:r>
      <w:bookmarkStart w:id="21" w:name="_GoBack"/>
      <w:bookmarkEnd w:id="21"/>
      <w:r w:rsidRPr="007538C0">
        <w:rPr>
          <w:rFonts w:cstheme="minorHAnsi"/>
          <w:bCs/>
        </w:rPr>
        <w:t xml:space="preserve">“Katılımcı pozisyon limitlerinin hesaplanması” başlıklı 17 nci maddesi hükümleri uyarınca </w:t>
      </w:r>
      <w:r w:rsidRPr="00313215">
        <w:rPr>
          <w:rFonts w:cstheme="minorHAnsi"/>
        </w:rPr>
        <w:t xml:space="preserve">Piyasa İşletmecisi tarafından işletilen organize </w:t>
      </w:r>
      <w:r>
        <w:rPr>
          <w:rFonts w:cstheme="minorHAnsi"/>
        </w:rPr>
        <w:t>toptan elektrik piyasalarında hâlihazırda</w:t>
      </w:r>
      <w:r w:rsidRPr="00313215">
        <w:rPr>
          <w:rFonts w:cstheme="minorHAnsi"/>
        </w:rPr>
        <w:t xml:space="preserve"> işlem yapan piyasa katılımcıları için hesaplanacak pozisyon limitleri;</w:t>
      </w:r>
    </w:p>
    <w:p w:rsidR="00313215" w:rsidRDefault="00313215" w:rsidP="00AD13B0">
      <w:pPr>
        <w:ind w:firstLine="708"/>
        <w:jc w:val="both"/>
        <w:rPr>
          <w:rFonts w:cstheme="minorHAnsi"/>
        </w:rPr>
      </w:pPr>
      <w:r w:rsidRPr="00313215">
        <w:rPr>
          <w:rFonts w:cstheme="minorHAnsi"/>
        </w:rPr>
        <w:t xml:space="preserve">Hesaplamanın yapıldığı günden önceki </w:t>
      </w:r>
      <w:r w:rsidR="0040025D">
        <w:rPr>
          <w:rFonts w:cstheme="minorHAnsi"/>
        </w:rPr>
        <w:t>uzlaştırması çıkmış son on iki aya ait</w:t>
      </w:r>
      <w:r w:rsidRPr="00313215">
        <w:rPr>
          <w:rFonts w:cstheme="minorHAnsi"/>
        </w:rPr>
        <w:t xml:space="preserve"> uzlaştırma</w:t>
      </w:r>
      <w:r w:rsidR="0007311A">
        <w:rPr>
          <w:rFonts w:cstheme="minorHAnsi"/>
        </w:rPr>
        <w:t>ya esas değerler dikkate alınır</w:t>
      </w:r>
      <w:r w:rsidR="0040025D">
        <w:rPr>
          <w:rFonts w:cstheme="minorHAnsi"/>
        </w:rPr>
        <w:t>.</w:t>
      </w:r>
      <w:r w:rsidRPr="00313215">
        <w:rPr>
          <w:rFonts w:cstheme="minorHAnsi"/>
        </w:rPr>
        <w:t xml:space="preserve"> Piyasa katılımcılarının</w:t>
      </w:r>
      <w:r w:rsidR="0040025D">
        <w:rPr>
          <w:rFonts w:cstheme="minorHAnsi"/>
        </w:rPr>
        <w:t xml:space="preserve"> her birinin</w:t>
      </w:r>
      <w:r w:rsidRPr="00313215">
        <w:rPr>
          <w:rFonts w:cstheme="minorHAnsi"/>
        </w:rPr>
        <w:t xml:space="preserve"> </w:t>
      </w:r>
      <w:r w:rsidR="0007311A">
        <w:rPr>
          <w:rFonts w:cstheme="minorHAnsi"/>
        </w:rPr>
        <w:t xml:space="preserve">GÖP </w:t>
      </w:r>
      <w:r w:rsidR="009627E7">
        <w:rPr>
          <w:rFonts w:cstheme="minorHAnsi"/>
        </w:rPr>
        <w:t>alış miktarı</w:t>
      </w:r>
      <w:r w:rsidR="0007311A">
        <w:rPr>
          <w:rFonts w:cstheme="minorHAnsi"/>
        </w:rPr>
        <w:t>,</w:t>
      </w:r>
      <w:r w:rsidRPr="00313215">
        <w:rPr>
          <w:rFonts w:cstheme="minorHAnsi"/>
        </w:rPr>
        <w:t xml:space="preserve"> GİP </w:t>
      </w:r>
      <w:r w:rsidR="009627E7" w:rsidRPr="00313215">
        <w:rPr>
          <w:rFonts w:cstheme="minorHAnsi"/>
        </w:rPr>
        <w:t>alış</w:t>
      </w:r>
      <w:r w:rsidR="009627E7">
        <w:rPr>
          <w:rFonts w:cstheme="minorHAnsi"/>
        </w:rPr>
        <w:t xml:space="preserve"> miktarı</w:t>
      </w:r>
      <w:r w:rsidR="0007311A">
        <w:rPr>
          <w:rFonts w:cstheme="minorHAnsi"/>
        </w:rPr>
        <w:t>,</w:t>
      </w:r>
      <w:r w:rsidR="00602968">
        <w:rPr>
          <w:rFonts w:cstheme="minorHAnsi"/>
        </w:rPr>
        <w:t xml:space="preserve"> </w:t>
      </w:r>
      <w:r w:rsidR="009627E7">
        <w:rPr>
          <w:rFonts w:cstheme="minorHAnsi"/>
        </w:rPr>
        <w:t>VEP alış miktarı,</w:t>
      </w:r>
      <w:r w:rsidRPr="00313215">
        <w:rPr>
          <w:rFonts w:cstheme="minorHAnsi"/>
        </w:rPr>
        <w:t xml:space="preserve"> </w:t>
      </w:r>
      <w:r w:rsidR="009627E7" w:rsidRPr="00313215">
        <w:rPr>
          <w:rFonts w:cstheme="minorHAnsi"/>
        </w:rPr>
        <w:t xml:space="preserve">ikili </w:t>
      </w:r>
      <w:r w:rsidR="009627E7">
        <w:rPr>
          <w:rFonts w:cstheme="minorHAnsi"/>
        </w:rPr>
        <w:t>anlaşma alış miktarı</w:t>
      </w:r>
      <w:r w:rsidRPr="00313215">
        <w:rPr>
          <w:rFonts w:cstheme="minorHAnsi"/>
        </w:rPr>
        <w:t>, kesinleşmiş yük atma talimat miktarı (KEYATM),</w:t>
      </w:r>
      <w:r w:rsidR="009627E7">
        <w:rPr>
          <w:rFonts w:cstheme="minorHAnsi"/>
        </w:rPr>
        <w:t xml:space="preserve"> </w:t>
      </w:r>
      <w:r w:rsidRPr="00313215">
        <w:rPr>
          <w:rFonts w:cstheme="minorHAnsi"/>
        </w:rPr>
        <w:t>negatif enerji dengesizlik miktarı</w:t>
      </w:r>
      <w:r w:rsidR="0040025D">
        <w:rPr>
          <w:rFonts w:cstheme="minorHAnsi"/>
        </w:rPr>
        <w:t xml:space="preserve"> (EDMN)</w:t>
      </w:r>
      <w:r w:rsidRPr="00313215">
        <w:rPr>
          <w:rFonts w:cstheme="minorHAnsi"/>
        </w:rPr>
        <w:t xml:space="preserve"> ve uzlaştırmaya esas ve</w:t>
      </w:r>
      <w:r w:rsidR="0040025D">
        <w:rPr>
          <w:rFonts w:cstheme="minorHAnsi"/>
        </w:rPr>
        <w:t>riş miktarları (UEVM) toplamı</w:t>
      </w:r>
      <w:r w:rsidR="0007311A">
        <w:rPr>
          <w:rFonts w:cstheme="minorHAnsi"/>
        </w:rPr>
        <w:t>,</w:t>
      </w:r>
      <w:r w:rsidRPr="00313215">
        <w:rPr>
          <w:rFonts w:cstheme="minorHAnsi"/>
        </w:rPr>
        <w:t xml:space="preserve"> tüm piyasa katılımcıları</w:t>
      </w:r>
      <w:r w:rsidR="0040025D">
        <w:rPr>
          <w:rFonts w:cstheme="minorHAnsi"/>
        </w:rPr>
        <w:t xml:space="preserve">nın aynı yönlü toplam işlemlerine bölünerek </w:t>
      </w:r>
      <w:r w:rsidRPr="00313215">
        <w:rPr>
          <w:rFonts w:cstheme="minorHAnsi"/>
        </w:rPr>
        <w:t>piyasalarda bulunma oranı hesaplanır. Katılımcıların piyasalarda bulunma oranlarının toplam piyasa pozisyon limitleri ile çarpılması sonucu katılımcı pozisyon limitleri hesaplanır. Katılımcı pozisyon limiti olarak hesaplanan değerler en yakın tam sayı değerine yuvarlanır.</w:t>
      </w:r>
    </w:p>
    <w:p w:rsidR="008F13ED" w:rsidRPr="00E544AD" w:rsidRDefault="00080334" w:rsidP="00E544AD">
      <w:pPr>
        <w:jc w:val="both"/>
        <w:rPr>
          <w:rFonts w:eastAsiaTheme="minorEastAsia" w:cstheme="minorHAnsi"/>
          <w:sz w:val="24"/>
          <w:szCs w:val="24"/>
        </w:rPr>
      </w:pPr>
      <m:oMathPara>
        <m:oMathParaPr>
          <m:jc m:val="center"/>
        </m:oMathPara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PL</m:t>
              </m:r>
            </m:e>
            <m:sub>
              <m:r>
                <w:rPr>
                  <w:rFonts w:ascii="Cambria Math" w:eastAsia="Calibri" w:hAnsi="Cambria Math" w:cs="Times New Roman"/>
                  <w:sz w:val="24"/>
                  <w:szCs w:val="24"/>
                </w:rPr>
                <m:t>p</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PPL</m:t>
              </m:r>
            </m:e>
            <m:sub>
              <m:r>
                <w:rPr>
                  <w:rFonts w:ascii="Cambria Math" w:eastAsia="Calibri" w:hAnsi="Cambria Math" w:cs="Times New Roman"/>
                  <w:sz w:val="24"/>
                  <w:szCs w:val="24"/>
                </w:rPr>
                <m:t>t</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PLO</m:t>
              </m:r>
            </m:e>
            <m:sub>
              <m:r>
                <w:rPr>
                  <w:rFonts w:ascii="Cambria Math" w:eastAsia="Calibri" w:hAnsi="Cambria Math" w:cs="Times New Roman"/>
                  <w:sz w:val="24"/>
                  <w:szCs w:val="24"/>
                </w:rPr>
                <m:t>p</m:t>
              </m:r>
            </m:sub>
          </m:sSub>
          <m:r>
            <w:rPr>
              <w:rFonts w:ascii="Cambria Math" w:eastAsia="Calibri" w:hAnsi="Cambria Math" w:cs="Times New Roman"/>
              <w:sz w:val="24"/>
              <w:szCs w:val="24"/>
            </w:rPr>
            <m:t xml:space="preserve">                                                                                                   </m:t>
          </m:r>
        </m:oMath>
      </m:oMathPara>
    </w:p>
    <w:p w:rsidR="00E544AD" w:rsidRPr="00E544AD" w:rsidRDefault="00E544AD" w:rsidP="00E544AD">
      <w:pPr>
        <w:spacing w:after="0" w:line="240" w:lineRule="auto"/>
        <w:ind w:left="709"/>
        <w:jc w:val="both"/>
        <w:rPr>
          <w:rFonts w:ascii="Times New Roman" w:eastAsia="Calibri" w:hAnsi="Times New Roman" w:cs="Times New Roman"/>
          <w:sz w:val="24"/>
          <w:szCs w:val="24"/>
        </w:rPr>
      </w:pPr>
      <w:r>
        <w:rPr>
          <w:rFonts w:eastAsiaTheme="minorEastAsia" w:cstheme="minorHAnsi"/>
          <w:sz w:val="24"/>
          <w:szCs w:val="24"/>
        </w:rPr>
        <w:t xml:space="preserve">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PLO</m:t>
            </m:r>
          </m:e>
          <m:sub>
            <m:r>
              <w:rPr>
                <w:rFonts w:ascii="Cambria Math" w:eastAsia="Calibri" w:hAnsi="Cambria Math" w:cs="Times New Roman"/>
                <w:sz w:val="24"/>
                <w:szCs w:val="24"/>
              </w:rPr>
              <m:t>p</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PİM</m:t>
                </m:r>
              </m:e>
              <m:sub>
                <m:r>
                  <w:rPr>
                    <w:rFonts w:ascii="Cambria Math" w:eastAsia="Calibri" w:hAnsi="Cambria Math" w:cs="Times New Roman"/>
                    <w:sz w:val="24"/>
                    <w:szCs w:val="24"/>
                  </w:rPr>
                  <m:t>p</m:t>
                </m:r>
              </m:sub>
            </m:sSub>
          </m:num>
          <m:den>
            <m:r>
              <w:rPr>
                <w:rFonts w:ascii="Cambria Math" w:eastAsia="Calibri" w:hAnsi="Cambria Math" w:cs="Times New Roman"/>
                <w:sz w:val="24"/>
                <w:szCs w:val="24"/>
              </w:rPr>
              <m:t>TPİM</m:t>
            </m:r>
          </m:den>
        </m:f>
        <m:r>
          <w:rPr>
            <w:rFonts w:ascii="Cambria Math" w:eastAsia="Calibri" w:hAnsi="Cambria Math" w:cs="Times New Roman"/>
            <w:sz w:val="24"/>
            <w:szCs w:val="24"/>
          </w:rPr>
          <m:t xml:space="preserve">                                                                                                      </m:t>
        </m:r>
      </m:oMath>
    </w:p>
    <w:p w:rsidR="00E544AD" w:rsidRPr="00E544AD" w:rsidRDefault="00E544AD" w:rsidP="00E544AD">
      <w:pPr>
        <w:spacing w:after="0" w:line="240" w:lineRule="auto"/>
        <w:ind w:left="709"/>
        <w:rPr>
          <w:rFonts w:ascii="Times New Roman" w:eastAsia="Calibri" w:hAnsi="Times New Roman" w:cs="Times New Roman"/>
          <w:sz w:val="24"/>
          <w:szCs w:val="24"/>
        </w:rPr>
      </w:pPr>
    </w:p>
    <w:p w:rsidR="00E544AD" w:rsidRPr="00E544AD" w:rsidRDefault="00E544AD" w:rsidP="00E544AD">
      <w:pPr>
        <w:spacing w:after="0" w:line="240" w:lineRule="auto"/>
        <w:ind w:left="708"/>
        <w:rPr>
          <w:rFonts w:ascii="Times New Roman" w:eastAsia="Calibri" w:hAnsi="Times New Roman" w:cs="Times New Roman"/>
          <w:sz w:val="24"/>
          <w:szCs w:val="24"/>
        </w:rPr>
      </w:pPr>
      <m:oMathPara>
        <m:oMathParaPr>
          <m:jc m:val="left"/>
        </m:oMathParaPr>
        <m:oMath>
          <m:r>
            <w:rPr>
              <w:rFonts w:ascii="Cambria Math" w:eastAsia="Calibri" w:hAnsi="Cambria Math" w:cs="Times New Roman"/>
              <w:sz w:val="24"/>
              <w:szCs w:val="24"/>
            </w:rPr>
            <m:t xml:space="preserve">  TPİM=</m:t>
          </m:r>
          <m:nary>
            <m:naryPr>
              <m:chr m:val="∑"/>
              <m:limLoc m:val="undOvr"/>
              <m:ctrlPr>
                <w:rPr>
                  <w:rFonts w:ascii="Cambria Math" w:eastAsia="Calibri" w:hAnsi="Cambria Math" w:cs="Times New Roman"/>
                  <w:i/>
                  <w:sz w:val="24"/>
                  <w:szCs w:val="24"/>
                </w:rPr>
              </m:ctrlPr>
            </m:naryPr>
            <m:sub>
              <m:r>
                <w:rPr>
                  <w:rFonts w:ascii="Cambria Math" w:eastAsia="Calibri" w:hAnsi="Cambria Math" w:cs="Times New Roman"/>
                  <w:sz w:val="24"/>
                  <w:szCs w:val="24"/>
                </w:rPr>
                <m:t>p=1</m:t>
              </m:r>
            </m:sub>
            <m:sup>
              <m:r>
                <w:rPr>
                  <w:rFonts w:ascii="Cambria Math" w:eastAsia="Calibri" w:hAnsi="Cambria Math" w:cs="Times New Roman"/>
                  <w:sz w:val="24"/>
                  <w:szCs w:val="24"/>
                </w:rPr>
                <m:t>n</m:t>
              </m:r>
            </m:sup>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PİM</m:t>
                  </m:r>
                </m:e>
                <m:sub>
                  <m:r>
                    <w:rPr>
                      <w:rFonts w:ascii="Cambria Math" w:eastAsia="Calibri" w:hAnsi="Cambria Math" w:cs="Times New Roman"/>
                      <w:sz w:val="24"/>
                      <w:szCs w:val="24"/>
                    </w:rPr>
                    <m:t>p</m:t>
                  </m:r>
                </m:sub>
              </m:sSub>
            </m:e>
          </m:nary>
          <m:r>
            <w:rPr>
              <w:rFonts w:ascii="Cambria Math" w:eastAsia="Calibri" w:hAnsi="Cambria Math" w:cs="Times New Roman"/>
              <w:sz w:val="24"/>
              <w:szCs w:val="24"/>
            </w:rPr>
            <m:t xml:space="preserve">                                                                                          </m:t>
          </m:r>
        </m:oMath>
      </m:oMathPara>
    </w:p>
    <w:p w:rsidR="00E544AD" w:rsidRPr="00E544AD" w:rsidRDefault="00E544AD" w:rsidP="00E544AD">
      <w:pPr>
        <w:spacing w:after="0" w:line="240" w:lineRule="auto"/>
        <w:ind w:left="709"/>
        <w:rPr>
          <w:rFonts w:ascii="Times New Roman" w:eastAsia="Calibri" w:hAnsi="Times New Roman" w:cs="Times New Roman"/>
          <w:sz w:val="24"/>
          <w:szCs w:val="24"/>
        </w:rPr>
      </w:pPr>
    </w:p>
    <w:p w:rsidR="00777B7C" w:rsidRPr="005E37F4" w:rsidRDefault="00080334" w:rsidP="005E37F4">
      <w:pPr>
        <w:ind w:firstLine="708"/>
        <w:jc w:val="both"/>
        <w:rPr>
          <w:rFonts w:cstheme="minorHAnsi"/>
        </w:rPr>
      </w:pPr>
      <m:oMathPara>
        <m:oMath>
          <m:sSub>
            <m:sSubPr>
              <m:ctrlPr>
                <w:rPr>
                  <w:rFonts w:ascii="Cambria Math" w:eastAsia="Calibri" w:hAnsi="Cambria Math" w:cs="Times New Roman"/>
                  <w:i/>
                  <w:szCs w:val="24"/>
                </w:rPr>
              </m:ctrlPr>
            </m:sSubPr>
            <m:e>
              <m:r>
                <w:rPr>
                  <w:rFonts w:ascii="Cambria Math" w:eastAsia="Calibri" w:hAnsi="Cambria Math" w:cs="Times New Roman"/>
                  <w:szCs w:val="24"/>
                </w:rPr>
                <m:t xml:space="preserve">     PİM</m:t>
              </m:r>
            </m:e>
            <m:sub>
              <m:r>
                <w:rPr>
                  <w:rFonts w:ascii="Cambria Math" w:eastAsia="Calibri" w:hAnsi="Cambria Math" w:cs="Times New Roman"/>
                  <w:szCs w:val="24"/>
                </w:rPr>
                <m:t>p</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GÖPAM</m:t>
              </m:r>
            </m:e>
            <m:sub>
              <m:r>
                <w:rPr>
                  <w:rFonts w:ascii="Cambria Math" w:eastAsia="Calibri" w:hAnsi="Cambria Math" w:cs="Times New Roman"/>
                  <w:szCs w:val="24"/>
                </w:rPr>
                <m:t>p</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GİPAM</m:t>
              </m:r>
            </m:e>
            <m:sub>
              <m:r>
                <w:rPr>
                  <w:rFonts w:ascii="Cambria Math" w:eastAsia="Calibri" w:hAnsi="Cambria Math" w:cs="Times New Roman"/>
                  <w:szCs w:val="24"/>
                </w:rPr>
                <m:t>p</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İAAM</m:t>
              </m:r>
            </m:e>
            <m:sub>
              <m:r>
                <w:rPr>
                  <w:rFonts w:ascii="Cambria Math" w:eastAsia="Calibri" w:hAnsi="Cambria Math" w:cs="Times New Roman"/>
                  <w:szCs w:val="24"/>
                </w:rPr>
                <m:t>p</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UEVM</m:t>
              </m:r>
            </m:e>
            <m:sub>
              <m:r>
                <w:rPr>
                  <w:rFonts w:ascii="Cambria Math" w:eastAsia="Calibri" w:hAnsi="Cambria Math" w:cs="Times New Roman"/>
                  <w:szCs w:val="24"/>
                </w:rPr>
                <m:t>p</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VEPAM</m:t>
              </m:r>
            </m:e>
            <m:sub>
              <m:r>
                <w:rPr>
                  <w:rFonts w:ascii="Cambria Math" w:eastAsia="Calibri" w:hAnsi="Cambria Math" w:cs="Times New Roman"/>
                  <w:szCs w:val="24"/>
                </w:rPr>
                <m:t>p</m:t>
              </m:r>
            </m:sub>
          </m:sSub>
          <m:r>
            <w:rPr>
              <w:rFonts w:ascii="Cambria Math" w:eastAsia="Calibri" w:hAnsi="Cambria Math" w:cs="Times New Roman"/>
              <w:szCs w:val="24"/>
            </w:rPr>
            <m:t xml:space="preserve">+ </m:t>
          </m:r>
          <m:sSub>
            <m:sSubPr>
              <m:ctrlPr>
                <w:rPr>
                  <w:rFonts w:ascii="Cambria Math" w:eastAsia="Calibri" w:hAnsi="Cambria Math" w:cs="Times New Roman"/>
                  <w:i/>
                  <w:szCs w:val="24"/>
                </w:rPr>
              </m:ctrlPr>
            </m:sSubPr>
            <m:e>
              <m:r>
                <w:rPr>
                  <w:rFonts w:ascii="Cambria Math" w:eastAsia="Calibri" w:hAnsi="Cambria Math" w:cs="Times New Roman"/>
                  <w:szCs w:val="24"/>
                </w:rPr>
                <m:t>KEYATM</m:t>
              </m:r>
            </m:e>
            <m:sub>
              <m:r>
                <w:rPr>
                  <w:rFonts w:ascii="Cambria Math" w:eastAsia="Calibri" w:hAnsi="Cambria Math" w:cs="Times New Roman"/>
                  <w:szCs w:val="24"/>
                </w:rPr>
                <m:t>p</m:t>
              </m:r>
            </m:sub>
          </m:sSub>
          <m:r>
            <w:rPr>
              <w:rFonts w:ascii="Cambria Math" w:eastAsia="Calibri" w:hAnsi="Cambria Math" w:cs="Times New Roman"/>
              <w:szCs w:val="24"/>
            </w:rPr>
            <m:t>+</m:t>
          </m:r>
          <m:sSub>
            <m:sSubPr>
              <m:ctrlPr>
                <w:rPr>
                  <w:rFonts w:ascii="Cambria Math" w:eastAsia="Calibri" w:hAnsi="Cambria Math" w:cs="Times New Roman"/>
                  <w:i/>
                  <w:szCs w:val="24"/>
                </w:rPr>
              </m:ctrlPr>
            </m:sSubPr>
            <m:e>
              <m:r>
                <w:rPr>
                  <w:rFonts w:ascii="Cambria Math" w:eastAsia="Calibri" w:hAnsi="Cambria Math" w:cs="Times New Roman"/>
                  <w:szCs w:val="24"/>
                </w:rPr>
                <m:t>EDMN</m:t>
              </m:r>
            </m:e>
            <m:sub>
              <m:r>
                <w:rPr>
                  <w:rFonts w:ascii="Cambria Math" w:eastAsia="Calibri" w:hAnsi="Cambria Math" w:cs="Times New Roman"/>
                  <w:szCs w:val="24"/>
                </w:rPr>
                <m:t>p</m:t>
              </m:r>
            </m:sub>
          </m:sSub>
        </m:oMath>
      </m:oMathPara>
    </w:p>
    <w:p w:rsidR="00777B7C" w:rsidRPr="00777B7C" w:rsidRDefault="00777B7C" w:rsidP="00777B7C">
      <w:pPr>
        <w:spacing w:after="0" w:line="240" w:lineRule="auto"/>
        <w:ind w:firstLine="709"/>
        <w:jc w:val="both"/>
        <w:rPr>
          <w:rFonts w:ascii="Times New Roman" w:eastAsia="Calibri" w:hAnsi="Times New Roman" w:cs="Times New Roman"/>
          <w:sz w:val="24"/>
          <w:szCs w:val="24"/>
        </w:rPr>
      </w:pPr>
    </w:p>
    <w:p w:rsidR="00313215" w:rsidRPr="00AD13B0" w:rsidRDefault="00313215" w:rsidP="00313215">
      <w:pPr>
        <w:pStyle w:val="Heading4"/>
        <w:rPr>
          <w:rFonts w:cstheme="majorHAnsi"/>
        </w:rPr>
      </w:pPr>
      <w:r w:rsidRPr="00AD13B0">
        <w:rPr>
          <w:rFonts w:cstheme="majorHAnsi"/>
        </w:rPr>
        <w:t>Örnek Senaryo 1 (X ENERJİ A.Ş)</w:t>
      </w:r>
    </w:p>
    <w:p w:rsidR="006B298C" w:rsidRDefault="00313215" w:rsidP="00777B7C">
      <w:pPr>
        <w:ind w:firstLine="708"/>
        <w:jc w:val="both"/>
        <w:rPr>
          <w:rFonts w:cstheme="minorHAnsi"/>
        </w:rPr>
      </w:pPr>
      <w:r w:rsidRPr="00313215">
        <w:rPr>
          <w:rFonts w:cstheme="minorHAnsi"/>
        </w:rPr>
        <w:t>Daha önce piyasa işletmecisi tarafından işletilen organize piyasalarda işlem yapmış olan X Enerji A.Ş katılımcısının piyasada bulunma oranı</w:t>
      </w:r>
    </w:p>
    <w:tbl>
      <w:tblPr>
        <w:tblW w:w="9561"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left w:w="70" w:type="dxa"/>
          <w:right w:w="70" w:type="dxa"/>
        </w:tblCellMar>
        <w:tblLook w:val="04A0" w:firstRow="1" w:lastRow="0" w:firstColumn="1" w:lastColumn="0" w:noHBand="0" w:noVBand="1"/>
      </w:tblPr>
      <w:tblGrid>
        <w:gridCol w:w="5098"/>
        <w:gridCol w:w="4463"/>
      </w:tblGrid>
      <w:tr w:rsidR="00777B7C" w:rsidRPr="00777B7C" w:rsidTr="00777B7C">
        <w:tc>
          <w:tcPr>
            <w:tcW w:w="9561" w:type="dxa"/>
            <w:gridSpan w:val="2"/>
            <w:shd w:val="clear" w:color="auto" w:fill="DEEAF6" w:themeFill="accent1" w:themeFillTint="33"/>
            <w:noWrap/>
            <w:vAlign w:val="bottom"/>
            <w:hideMark/>
          </w:tcPr>
          <w:p w:rsidR="00777B7C" w:rsidRPr="00777B7C" w:rsidRDefault="00777B7C" w:rsidP="00777B7C">
            <w:pPr>
              <w:spacing w:after="0" w:line="240" w:lineRule="auto"/>
              <w:jc w:val="center"/>
              <w:rPr>
                <w:rFonts w:ascii="Calibri" w:eastAsia="Times New Roman" w:hAnsi="Calibri" w:cs="Calibri"/>
                <w:b/>
                <w:bCs/>
                <w:color w:val="000000"/>
                <w:lang w:eastAsia="tr-TR"/>
              </w:rPr>
            </w:pPr>
            <w:r w:rsidRPr="00777B7C">
              <w:rPr>
                <w:rFonts w:ascii="Calibri" w:eastAsia="Times New Roman" w:hAnsi="Calibri" w:cs="Calibri"/>
                <w:b/>
                <w:bCs/>
                <w:color w:val="000000"/>
                <w:lang w:eastAsia="tr-TR"/>
              </w:rPr>
              <w:t>X Enerji A.Ş.</w:t>
            </w:r>
          </w:p>
        </w:tc>
      </w:tr>
      <w:tr w:rsidR="00C64818" w:rsidRPr="00777B7C" w:rsidTr="00681675">
        <w:tc>
          <w:tcPr>
            <w:tcW w:w="5098" w:type="dxa"/>
            <w:shd w:val="clear" w:color="000000" w:fill="FFFFFF"/>
            <w:noWrap/>
            <w:vAlign w:val="center"/>
            <w:hideMark/>
          </w:tcPr>
          <w:p w:rsidR="00C64818" w:rsidRPr="00777B7C" w:rsidRDefault="00C64818" w:rsidP="00C64818">
            <w:pPr>
              <w:spacing w:after="0" w:line="240" w:lineRule="auto"/>
              <w:jc w:val="center"/>
              <w:rPr>
                <w:rFonts w:ascii="Calibri" w:eastAsia="Times New Roman" w:hAnsi="Calibri" w:cs="Calibri"/>
                <w:color w:val="000000"/>
                <w:lang w:eastAsia="tr-TR"/>
              </w:rPr>
            </w:pPr>
            <w:r w:rsidRPr="00777B7C">
              <w:rPr>
                <w:rFonts w:ascii="Calibri" w:eastAsia="Times New Roman" w:hAnsi="Calibri" w:cs="Calibri"/>
                <w:color w:val="000000"/>
                <w:lang w:eastAsia="tr-TR"/>
              </w:rPr>
              <w:t>GÖPAM</w:t>
            </w:r>
          </w:p>
        </w:tc>
        <w:tc>
          <w:tcPr>
            <w:tcW w:w="4463" w:type="dxa"/>
            <w:shd w:val="clear" w:color="auto" w:fill="auto"/>
            <w:noWrap/>
            <w:hideMark/>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891.159,90</w:t>
            </w:r>
          </w:p>
        </w:tc>
      </w:tr>
      <w:tr w:rsidR="00C64818" w:rsidRPr="00777B7C" w:rsidTr="00681675">
        <w:tc>
          <w:tcPr>
            <w:tcW w:w="5098" w:type="dxa"/>
            <w:shd w:val="clear" w:color="000000" w:fill="FFFFFF"/>
            <w:noWrap/>
            <w:vAlign w:val="center"/>
            <w:hideMark/>
          </w:tcPr>
          <w:p w:rsidR="00C64818" w:rsidRPr="00777B7C" w:rsidRDefault="00C64818" w:rsidP="00C64818">
            <w:pPr>
              <w:spacing w:after="0" w:line="240" w:lineRule="auto"/>
              <w:jc w:val="center"/>
              <w:rPr>
                <w:rFonts w:ascii="Calibri" w:eastAsia="Times New Roman" w:hAnsi="Calibri" w:cs="Calibri"/>
                <w:color w:val="000000"/>
                <w:lang w:eastAsia="tr-TR"/>
              </w:rPr>
            </w:pPr>
            <w:r w:rsidRPr="00777B7C">
              <w:rPr>
                <w:rFonts w:ascii="Calibri" w:eastAsia="Times New Roman" w:hAnsi="Calibri" w:cs="Calibri"/>
                <w:color w:val="000000"/>
                <w:lang w:eastAsia="tr-TR"/>
              </w:rPr>
              <w:t>GİPAM</w:t>
            </w:r>
          </w:p>
        </w:tc>
        <w:tc>
          <w:tcPr>
            <w:tcW w:w="4463" w:type="dxa"/>
            <w:shd w:val="clear" w:color="auto" w:fill="auto"/>
            <w:noWrap/>
            <w:hideMark/>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136.002,90</w:t>
            </w:r>
          </w:p>
        </w:tc>
      </w:tr>
      <w:tr w:rsidR="00C64818" w:rsidRPr="00777B7C" w:rsidTr="00681675">
        <w:tc>
          <w:tcPr>
            <w:tcW w:w="5098" w:type="dxa"/>
            <w:shd w:val="clear" w:color="000000" w:fill="FFFFFF"/>
            <w:noWrap/>
            <w:vAlign w:val="center"/>
            <w:hideMark/>
          </w:tcPr>
          <w:p w:rsidR="00C64818" w:rsidRPr="00777B7C" w:rsidRDefault="00C64818" w:rsidP="00C64818">
            <w:pPr>
              <w:spacing w:after="0" w:line="240" w:lineRule="auto"/>
              <w:jc w:val="center"/>
              <w:rPr>
                <w:rFonts w:ascii="Calibri" w:eastAsia="Times New Roman" w:hAnsi="Calibri" w:cs="Calibri"/>
                <w:color w:val="000000"/>
                <w:lang w:eastAsia="tr-TR"/>
              </w:rPr>
            </w:pPr>
            <w:r w:rsidRPr="00777B7C">
              <w:rPr>
                <w:rFonts w:ascii="Calibri" w:eastAsia="Times New Roman" w:hAnsi="Calibri" w:cs="Calibri"/>
                <w:color w:val="000000"/>
                <w:lang w:eastAsia="tr-TR"/>
              </w:rPr>
              <w:t>İAAM</w:t>
            </w:r>
          </w:p>
        </w:tc>
        <w:tc>
          <w:tcPr>
            <w:tcW w:w="4463" w:type="dxa"/>
            <w:shd w:val="clear" w:color="auto" w:fill="auto"/>
            <w:noWrap/>
            <w:hideMark/>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1.064.607,00</w:t>
            </w:r>
          </w:p>
        </w:tc>
      </w:tr>
      <w:tr w:rsidR="00C64818" w:rsidRPr="00777B7C" w:rsidTr="00681675">
        <w:tc>
          <w:tcPr>
            <w:tcW w:w="5098" w:type="dxa"/>
            <w:shd w:val="clear" w:color="000000" w:fill="FFFFFF"/>
            <w:noWrap/>
            <w:vAlign w:val="center"/>
            <w:hideMark/>
          </w:tcPr>
          <w:p w:rsidR="00C64818" w:rsidRPr="00777B7C" w:rsidRDefault="00C64818" w:rsidP="00C64818">
            <w:pPr>
              <w:spacing w:after="0" w:line="240" w:lineRule="auto"/>
              <w:jc w:val="center"/>
              <w:rPr>
                <w:rFonts w:ascii="Calibri" w:eastAsia="Times New Roman" w:hAnsi="Calibri" w:cs="Calibri"/>
                <w:color w:val="000000"/>
                <w:lang w:eastAsia="tr-TR"/>
              </w:rPr>
            </w:pPr>
            <w:r w:rsidRPr="00777B7C">
              <w:rPr>
                <w:rFonts w:ascii="Calibri" w:eastAsia="Times New Roman" w:hAnsi="Calibri" w:cs="Calibri"/>
                <w:color w:val="000000"/>
                <w:lang w:eastAsia="tr-TR"/>
              </w:rPr>
              <w:t>UEVM</w:t>
            </w:r>
          </w:p>
        </w:tc>
        <w:tc>
          <w:tcPr>
            <w:tcW w:w="4463" w:type="dxa"/>
            <w:shd w:val="clear" w:color="auto" w:fill="auto"/>
            <w:noWrap/>
            <w:hideMark/>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7.251.603,17</w:t>
            </w:r>
          </w:p>
        </w:tc>
      </w:tr>
      <w:tr w:rsidR="00C64818" w:rsidRPr="00777B7C" w:rsidTr="00681675">
        <w:tc>
          <w:tcPr>
            <w:tcW w:w="5098" w:type="dxa"/>
            <w:shd w:val="clear" w:color="000000" w:fill="FFFFFF"/>
            <w:noWrap/>
            <w:vAlign w:val="center"/>
            <w:hideMark/>
          </w:tcPr>
          <w:p w:rsidR="00C64818" w:rsidRPr="00777B7C" w:rsidRDefault="00C64818" w:rsidP="00C64818">
            <w:pPr>
              <w:spacing w:after="0" w:line="240" w:lineRule="auto"/>
              <w:jc w:val="center"/>
              <w:rPr>
                <w:rFonts w:ascii="Calibri" w:eastAsia="Times New Roman" w:hAnsi="Calibri" w:cs="Calibri"/>
                <w:color w:val="000000"/>
                <w:lang w:eastAsia="tr-TR"/>
              </w:rPr>
            </w:pPr>
            <w:r w:rsidRPr="00777B7C">
              <w:rPr>
                <w:rFonts w:ascii="Calibri" w:eastAsia="Times New Roman" w:hAnsi="Calibri" w:cs="Calibri"/>
                <w:color w:val="000000"/>
                <w:lang w:eastAsia="tr-TR"/>
              </w:rPr>
              <w:t>VEPAM</w:t>
            </w:r>
          </w:p>
        </w:tc>
        <w:tc>
          <w:tcPr>
            <w:tcW w:w="4463" w:type="dxa"/>
            <w:shd w:val="clear" w:color="auto" w:fill="auto"/>
            <w:noWrap/>
            <w:hideMark/>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0</w:t>
            </w:r>
          </w:p>
        </w:tc>
      </w:tr>
      <w:tr w:rsidR="00C64818" w:rsidRPr="00777B7C" w:rsidTr="00681675">
        <w:tc>
          <w:tcPr>
            <w:tcW w:w="5098" w:type="dxa"/>
            <w:shd w:val="clear" w:color="000000" w:fill="FFFFFF"/>
            <w:noWrap/>
            <w:vAlign w:val="center"/>
            <w:hideMark/>
          </w:tcPr>
          <w:p w:rsidR="00C64818" w:rsidRPr="00777B7C" w:rsidRDefault="00C64818" w:rsidP="00C64818">
            <w:pPr>
              <w:spacing w:after="0" w:line="240" w:lineRule="auto"/>
              <w:jc w:val="center"/>
              <w:rPr>
                <w:rFonts w:ascii="Calibri" w:eastAsia="Times New Roman" w:hAnsi="Calibri" w:cs="Calibri"/>
                <w:color w:val="000000"/>
                <w:lang w:eastAsia="tr-TR"/>
              </w:rPr>
            </w:pPr>
            <w:r w:rsidRPr="00777B7C">
              <w:rPr>
                <w:rFonts w:ascii="Calibri" w:eastAsia="Times New Roman" w:hAnsi="Calibri" w:cs="Calibri"/>
                <w:color w:val="000000"/>
                <w:lang w:eastAsia="tr-TR"/>
              </w:rPr>
              <w:t>EDMN</w:t>
            </w:r>
          </w:p>
        </w:tc>
        <w:tc>
          <w:tcPr>
            <w:tcW w:w="4463" w:type="dxa"/>
            <w:shd w:val="clear" w:color="auto" w:fill="auto"/>
            <w:noWrap/>
            <w:hideMark/>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1.749,25</w:t>
            </w:r>
          </w:p>
        </w:tc>
      </w:tr>
      <w:tr w:rsidR="00C64818" w:rsidRPr="00777B7C" w:rsidTr="00681675">
        <w:tc>
          <w:tcPr>
            <w:tcW w:w="5098" w:type="dxa"/>
            <w:shd w:val="clear" w:color="000000" w:fill="FFFFFF"/>
            <w:noWrap/>
            <w:vAlign w:val="center"/>
            <w:hideMark/>
          </w:tcPr>
          <w:p w:rsidR="00C64818" w:rsidRPr="00777B7C" w:rsidRDefault="00C64818" w:rsidP="00C64818">
            <w:pPr>
              <w:spacing w:after="0" w:line="240" w:lineRule="auto"/>
              <w:jc w:val="center"/>
              <w:rPr>
                <w:rFonts w:ascii="Calibri" w:eastAsia="Times New Roman" w:hAnsi="Calibri" w:cs="Calibri"/>
                <w:color w:val="000000"/>
                <w:lang w:eastAsia="tr-TR"/>
              </w:rPr>
            </w:pPr>
            <w:r w:rsidRPr="00777B7C">
              <w:rPr>
                <w:rFonts w:ascii="Calibri" w:eastAsia="Times New Roman" w:hAnsi="Calibri" w:cs="Calibri"/>
                <w:color w:val="000000"/>
                <w:lang w:eastAsia="tr-TR"/>
              </w:rPr>
              <w:t>KEYATM</w:t>
            </w:r>
          </w:p>
        </w:tc>
        <w:tc>
          <w:tcPr>
            <w:tcW w:w="4463" w:type="dxa"/>
            <w:shd w:val="clear" w:color="auto" w:fill="auto"/>
            <w:noWrap/>
            <w:hideMark/>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40.025,08</w:t>
            </w:r>
          </w:p>
        </w:tc>
      </w:tr>
      <w:tr w:rsidR="00C64818" w:rsidRPr="00777B7C" w:rsidTr="00681675">
        <w:tc>
          <w:tcPr>
            <w:tcW w:w="5098" w:type="dxa"/>
            <w:shd w:val="clear" w:color="000000" w:fill="FFFFFF"/>
            <w:noWrap/>
            <w:vAlign w:val="center"/>
            <w:hideMark/>
          </w:tcPr>
          <w:p w:rsidR="00C64818" w:rsidRPr="00777B7C" w:rsidRDefault="00C64818" w:rsidP="00C6481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X Enerji A.Ş. </w:t>
            </w:r>
            <w:r w:rsidRPr="00777B7C">
              <w:rPr>
                <w:rFonts w:ascii="Calibri" w:eastAsia="Times New Roman" w:hAnsi="Calibri" w:cs="Calibri"/>
                <w:color w:val="000000"/>
                <w:lang w:eastAsia="tr-TR"/>
              </w:rPr>
              <w:t>Toplam Alış + UEVM Miktarı</w:t>
            </w:r>
          </w:p>
        </w:tc>
        <w:tc>
          <w:tcPr>
            <w:tcW w:w="4463" w:type="dxa"/>
            <w:shd w:val="clear" w:color="auto" w:fill="FFF2CC" w:themeFill="accent4" w:themeFillTint="33"/>
            <w:noWrap/>
            <w:hideMark/>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9.385.147,30</w:t>
            </w:r>
          </w:p>
        </w:tc>
      </w:tr>
      <w:tr w:rsidR="00C64818" w:rsidRPr="00777B7C" w:rsidTr="00681675">
        <w:tc>
          <w:tcPr>
            <w:tcW w:w="5098" w:type="dxa"/>
            <w:shd w:val="clear" w:color="000000" w:fill="FFFFFF"/>
            <w:noWrap/>
            <w:vAlign w:val="center"/>
          </w:tcPr>
          <w:p w:rsidR="00C64818" w:rsidRPr="00777B7C" w:rsidRDefault="00C64818" w:rsidP="00C64818">
            <w:pPr>
              <w:spacing w:after="0" w:line="240" w:lineRule="auto"/>
              <w:jc w:val="center"/>
              <w:rPr>
                <w:rFonts w:ascii="Calibri" w:eastAsia="Times New Roman" w:hAnsi="Calibri" w:cs="Calibri"/>
                <w:color w:val="000000"/>
                <w:lang w:eastAsia="tr-TR"/>
              </w:rPr>
            </w:pPr>
            <w:r w:rsidRPr="00777B7C">
              <w:rPr>
                <w:rFonts w:ascii="Calibri" w:eastAsia="Times New Roman" w:hAnsi="Calibri" w:cs="Calibri"/>
                <w:color w:val="000000"/>
                <w:lang w:eastAsia="tr-TR"/>
              </w:rPr>
              <w:t>Toplam Piyasa Alış Miktarı ile UEVM Toplamı</w:t>
            </w:r>
          </w:p>
        </w:tc>
        <w:tc>
          <w:tcPr>
            <w:tcW w:w="4463" w:type="dxa"/>
            <w:shd w:val="clear" w:color="auto" w:fill="FFF2CC" w:themeFill="accent4" w:themeFillTint="33"/>
            <w:noWrap/>
          </w:tcPr>
          <w:p w:rsidR="00C64818" w:rsidRPr="00C64818" w:rsidRDefault="00C64818" w:rsidP="00C64818">
            <w:pPr>
              <w:spacing w:after="0" w:line="240" w:lineRule="auto"/>
              <w:jc w:val="center"/>
              <w:rPr>
                <w:rFonts w:ascii="Calibri" w:eastAsia="Times New Roman" w:hAnsi="Calibri" w:cs="Calibri"/>
                <w:color w:val="000000"/>
                <w:sz w:val="18"/>
                <w:szCs w:val="18"/>
                <w:lang w:eastAsia="tr-TR"/>
              </w:rPr>
            </w:pPr>
            <w:r w:rsidRPr="00C64818">
              <w:rPr>
                <w:rFonts w:ascii="Calibri" w:eastAsia="Times New Roman" w:hAnsi="Calibri" w:cs="Calibri"/>
                <w:color w:val="000000"/>
                <w:sz w:val="18"/>
                <w:szCs w:val="18"/>
                <w:lang w:eastAsia="tr-TR"/>
              </w:rPr>
              <w:t>744.882.416,84</w:t>
            </w:r>
          </w:p>
        </w:tc>
      </w:tr>
    </w:tbl>
    <w:p w:rsidR="00777B7C" w:rsidRDefault="00777B7C" w:rsidP="00AD13B0">
      <w:pPr>
        <w:ind w:firstLine="708"/>
        <w:jc w:val="both"/>
        <w:rPr>
          <w:rFonts w:cstheme="minorHAnsi"/>
        </w:rPr>
      </w:pPr>
    </w:p>
    <w:p w:rsidR="005E37F4" w:rsidRDefault="005E37F4" w:rsidP="00AD13B0">
      <w:pPr>
        <w:ind w:firstLine="708"/>
        <w:jc w:val="both"/>
        <w:rPr>
          <w:rFonts w:cstheme="minorHAnsi"/>
        </w:rPr>
      </w:pPr>
    </w:p>
    <w:p w:rsidR="005E37F4" w:rsidRDefault="00777B7C" w:rsidP="00AD13B0">
      <w:pPr>
        <w:ind w:firstLine="708"/>
        <w:jc w:val="both"/>
        <w:rPr>
          <w:rFonts w:cstheme="minorHAnsi"/>
        </w:rPr>
      </w:pPr>
      <w:r>
        <w:rPr>
          <w:rFonts w:cstheme="minorHAnsi"/>
        </w:rPr>
        <w:lastRenderedPageBreak/>
        <w:t xml:space="preserve">PLO= </w:t>
      </w:r>
      <w:r w:rsidR="00C64818">
        <w:rPr>
          <w:rFonts w:cstheme="minorHAnsi"/>
        </w:rPr>
        <w:t>9.385.147,30 / 744.882.416,84</w:t>
      </w:r>
      <w:r w:rsidR="005E37F4">
        <w:rPr>
          <w:rFonts w:cstheme="minorHAnsi"/>
        </w:rPr>
        <w:t xml:space="preserve"> = %1,2600</w:t>
      </w:r>
    </w:p>
    <w:p w:rsidR="005E37F4" w:rsidRDefault="005E37F4" w:rsidP="00AD13B0">
      <w:pPr>
        <w:ind w:firstLine="708"/>
        <w:jc w:val="both"/>
        <w:rPr>
          <w:rFonts w:cstheme="minorHAnsi"/>
        </w:rPr>
      </w:pPr>
    </w:p>
    <w:p w:rsidR="00313215" w:rsidRPr="00313215" w:rsidRDefault="005E37F4" w:rsidP="00AD13B0">
      <w:pPr>
        <w:ind w:firstLine="708"/>
        <w:jc w:val="both"/>
        <w:rPr>
          <w:rFonts w:cstheme="minorHAnsi"/>
        </w:rPr>
      </w:pPr>
      <w:r>
        <w:rPr>
          <w:rFonts w:cstheme="minorHAnsi"/>
        </w:rPr>
        <w:t>PLO oranı</w:t>
      </w:r>
      <w:r w:rsidR="006B298C">
        <w:rPr>
          <w:rFonts w:cstheme="minorHAnsi"/>
        </w:rPr>
        <w:t xml:space="preserve"> %1,26 olduğu hesaplandığında</w:t>
      </w:r>
      <w:r w:rsidR="00313215" w:rsidRPr="00313215">
        <w:rPr>
          <w:rFonts w:cstheme="minorHAnsi"/>
        </w:rPr>
        <w:t>;</w:t>
      </w:r>
    </w:p>
    <w:p w:rsidR="005E37F4" w:rsidRDefault="00313215" w:rsidP="005E37F4">
      <w:pPr>
        <w:ind w:firstLine="708"/>
        <w:jc w:val="both"/>
        <w:rPr>
          <w:rFonts w:cstheme="minorHAnsi"/>
        </w:rPr>
      </w:pPr>
      <w:r w:rsidRPr="00313215">
        <w:rPr>
          <w:rFonts w:cstheme="minorHAnsi"/>
        </w:rPr>
        <w:t>X Enerji A.Ş. nin teslimat dönemleri için piyasa pozisyon limitleri, teslimat dönemi piyasa pozisyon limitleri ile X Enerji A.Ş. nin piyasada bulunma oranının çarpılması sonucu hesaplanır.</w:t>
      </w:r>
    </w:p>
    <w:tbl>
      <w:tblPr>
        <w:tblW w:w="9498" w:type="dxa"/>
        <w:tblInd w:w="-10" w:type="dxa"/>
        <w:tblCellMar>
          <w:left w:w="70" w:type="dxa"/>
          <w:right w:w="70" w:type="dxa"/>
        </w:tblCellMar>
        <w:tblLook w:val="04A0" w:firstRow="1" w:lastRow="0" w:firstColumn="1" w:lastColumn="0" w:noHBand="0" w:noVBand="1"/>
      </w:tblPr>
      <w:tblGrid>
        <w:gridCol w:w="2406"/>
        <w:gridCol w:w="1989"/>
        <w:gridCol w:w="2693"/>
        <w:gridCol w:w="2410"/>
      </w:tblGrid>
      <w:tr w:rsidR="00905C44" w:rsidRPr="00DD5FCF" w:rsidTr="00905C44">
        <w:trPr>
          <w:trHeight w:val="200"/>
        </w:trPr>
        <w:tc>
          <w:tcPr>
            <w:tcW w:w="9498" w:type="dxa"/>
            <w:gridSpan w:val="4"/>
            <w:tcBorders>
              <w:top w:val="single" w:sz="8" w:space="0" w:color="B8CCE4"/>
              <w:left w:val="single" w:sz="8" w:space="0" w:color="B8CCE4"/>
              <w:bottom w:val="single" w:sz="12" w:space="0" w:color="9CC2E5"/>
              <w:right w:val="nil"/>
            </w:tcBorders>
            <w:shd w:val="clear" w:color="000000" w:fill="DEEAF6"/>
            <w:vAlign w:val="center"/>
            <w:hideMark/>
          </w:tcPr>
          <w:p w:rsidR="00905C44" w:rsidRPr="00DD5FCF" w:rsidRDefault="00905C44" w:rsidP="00DD5FCF">
            <w:pPr>
              <w:spacing w:after="0" w:line="240" w:lineRule="auto"/>
              <w:jc w:val="center"/>
              <w:rPr>
                <w:rFonts w:ascii="Calibri" w:eastAsia="Times New Roman" w:hAnsi="Calibri" w:cs="Calibri"/>
                <w:b/>
                <w:bCs/>
                <w:i/>
                <w:iCs/>
                <w:color w:val="000000"/>
                <w:sz w:val="20"/>
                <w:szCs w:val="20"/>
                <w:lang w:eastAsia="tr-TR"/>
              </w:rPr>
            </w:pPr>
            <w:r w:rsidRPr="00DD5FCF">
              <w:rPr>
                <w:rFonts w:ascii="Calibri" w:eastAsia="Times New Roman" w:hAnsi="Calibri" w:cs="Calibri"/>
                <w:b/>
                <w:bCs/>
                <w:i/>
                <w:iCs/>
                <w:color w:val="000000"/>
                <w:sz w:val="20"/>
                <w:szCs w:val="20"/>
                <w:lang w:eastAsia="tr-TR"/>
              </w:rPr>
              <w:t>X Enerji A. Ş. Piyasa Pozisyon Limitleri</w:t>
            </w:r>
          </w:p>
        </w:tc>
      </w:tr>
      <w:tr w:rsidR="00905C44" w:rsidRPr="00DD5FCF" w:rsidTr="00905C44">
        <w:trPr>
          <w:trHeight w:val="209"/>
        </w:trPr>
        <w:tc>
          <w:tcPr>
            <w:tcW w:w="2406" w:type="dxa"/>
            <w:tcBorders>
              <w:top w:val="nil"/>
              <w:left w:val="single" w:sz="8" w:space="0" w:color="BDD6EE"/>
              <w:bottom w:val="single" w:sz="8" w:space="0" w:color="BDD6EE"/>
              <w:right w:val="single" w:sz="8" w:space="0" w:color="BDD6EE"/>
            </w:tcBorders>
            <w:shd w:val="clear" w:color="000000" w:fill="DEEAF6"/>
            <w:noWrap/>
            <w:vAlign w:val="center"/>
            <w:hideMark/>
          </w:tcPr>
          <w:p w:rsidR="00905C44" w:rsidRPr="00DD5FCF" w:rsidRDefault="00905C44" w:rsidP="00905C44">
            <w:pPr>
              <w:spacing w:after="0" w:line="240" w:lineRule="auto"/>
              <w:jc w:val="center"/>
              <w:rPr>
                <w:rFonts w:ascii="Calibri" w:eastAsia="Times New Roman" w:hAnsi="Calibri" w:cs="Calibri"/>
                <w:b/>
                <w:bCs/>
                <w:i/>
                <w:iCs/>
                <w:color w:val="000000"/>
                <w:sz w:val="20"/>
                <w:szCs w:val="20"/>
                <w:lang w:eastAsia="tr-TR"/>
              </w:rPr>
            </w:pPr>
            <w:r w:rsidRPr="00DD5FCF">
              <w:rPr>
                <w:rFonts w:ascii="Calibri" w:eastAsia="Times New Roman" w:hAnsi="Calibri" w:cs="Calibri"/>
                <w:b/>
                <w:bCs/>
                <w:i/>
                <w:iCs/>
                <w:color w:val="000000"/>
                <w:sz w:val="20"/>
                <w:szCs w:val="20"/>
                <w:lang w:eastAsia="tr-TR"/>
              </w:rPr>
              <w:t>2021</w:t>
            </w:r>
          </w:p>
        </w:tc>
        <w:tc>
          <w:tcPr>
            <w:tcW w:w="1989" w:type="dxa"/>
            <w:tcBorders>
              <w:top w:val="nil"/>
              <w:left w:val="nil"/>
              <w:bottom w:val="single" w:sz="8" w:space="0" w:color="BDD6EE"/>
              <w:right w:val="single" w:sz="8" w:space="0" w:color="BDD6EE"/>
            </w:tcBorders>
            <w:shd w:val="clear" w:color="000000" w:fill="DEEAF6"/>
            <w:noWrap/>
            <w:vAlign w:val="center"/>
          </w:tcPr>
          <w:p w:rsidR="00905C44" w:rsidRPr="00DD5FCF" w:rsidRDefault="00905C44" w:rsidP="00905C44">
            <w:pPr>
              <w:spacing w:after="0" w:line="240" w:lineRule="auto"/>
              <w:jc w:val="center"/>
              <w:rPr>
                <w:rFonts w:ascii="Calibri" w:eastAsia="Times New Roman" w:hAnsi="Calibri" w:cs="Calibri"/>
                <w:b/>
                <w:bCs/>
                <w:i/>
                <w:iCs/>
                <w:color w:val="000000"/>
                <w:sz w:val="20"/>
                <w:szCs w:val="20"/>
                <w:lang w:eastAsia="tr-TR"/>
              </w:rPr>
            </w:pPr>
            <w:r>
              <w:rPr>
                <w:rFonts w:ascii="Calibri" w:eastAsia="Times New Roman" w:hAnsi="Calibri" w:cs="Calibri"/>
                <w:b/>
                <w:bCs/>
                <w:i/>
                <w:iCs/>
                <w:color w:val="000000"/>
                <w:sz w:val="20"/>
                <w:szCs w:val="20"/>
                <w:lang w:eastAsia="tr-TR"/>
              </w:rPr>
              <w:t xml:space="preserve">Yıllık </w:t>
            </w:r>
            <w:r w:rsidRPr="00DD5FCF">
              <w:rPr>
                <w:rFonts w:ascii="Calibri" w:eastAsia="Times New Roman" w:hAnsi="Calibri" w:cs="Calibri"/>
                <w:b/>
                <w:bCs/>
                <w:i/>
                <w:iCs/>
                <w:color w:val="000000"/>
                <w:sz w:val="20"/>
                <w:szCs w:val="20"/>
                <w:lang w:eastAsia="tr-TR"/>
              </w:rPr>
              <w:t>Kontrat Pozisyon Limit</w:t>
            </w:r>
          </w:p>
        </w:tc>
        <w:tc>
          <w:tcPr>
            <w:tcW w:w="2693" w:type="dxa"/>
            <w:tcBorders>
              <w:top w:val="nil"/>
              <w:left w:val="nil"/>
              <w:bottom w:val="single" w:sz="8" w:space="0" w:color="BDD6EE"/>
              <w:right w:val="single" w:sz="8" w:space="0" w:color="BDD6EE"/>
            </w:tcBorders>
            <w:shd w:val="clear" w:color="000000" w:fill="DEEAF6"/>
            <w:noWrap/>
            <w:vAlign w:val="center"/>
          </w:tcPr>
          <w:p w:rsidR="00905C44" w:rsidRPr="00DD5FCF" w:rsidRDefault="00905C44" w:rsidP="00905C44">
            <w:pPr>
              <w:spacing w:after="0" w:line="240" w:lineRule="auto"/>
              <w:jc w:val="center"/>
              <w:rPr>
                <w:rFonts w:ascii="Calibri" w:eastAsia="Times New Roman" w:hAnsi="Calibri" w:cs="Calibri"/>
                <w:b/>
                <w:bCs/>
                <w:i/>
                <w:iCs/>
                <w:color w:val="000000"/>
                <w:sz w:val="20"/>
                <w:szCs w:val="20"/>
                <w:lang w:eastAsia="tr-TR"/>
              </w:rPr>
            </w:pPr>
            <w:r w:rsidRPr="00DD5FCF">
              <w:rPr>
                <w:rFonts w:ascii="Calibri" w:eastAsia="Times New Roman" w:hAnsi="Calibri" w:cs="Calibri"/>
                <w:b/>
                <w:bCs/>
                <w:i/>
                <w:iCs/>
                <w:color w:val="000000"/>
                <w:sz w:val="20"/>
                <w:szCs w:val="20"/>
                <w:lang w:eastAsia="tr-TR"/>
              </w:rPr>
              <w:t xml:space="preserve">Çeyreklik Kontrat Pozisyon Limit </w:t>
            </w:r>
          </w:p>
        </w:tc>
        <w:tc>
          <w:tcPr>
            <w:tcW w:w="2410" w:type="dxa"/>
            <w:tcBorders>
              <w:top w:val="nil"/>
              <w:left w:val="nil"/>
              <w:bottom w:val="single" w:sz="8" w:space="0" w:color="BDD6EE"/>
              <w:right w:val="single" w:sz="8" w:space="0" w:color="BDD6EE"/>
            </w:tcBorders>
            <w:shd w:val="clear" w:color="000000" w:fill="DEEAF6"/>
            <w:vAlign w:val="center"/>
          </w:tcPr>
          <w:p w:rsidR="00905C44" w:rsidRPr="00DD5FCF" w:rsidRDefault="00905C44" w:rsidP="00905C44">
            <w:pPr>
              <w:spacing w:after="0" w:line="240" w:lineRule="auto"/>
              <w:jc w:val="center"/>
              <w:rPr>
                <w:rFonts w:ascii="Calibri" w:eastAsia="Times New Roman" w:hAnsi="Calibri" w:cs="Calibri"/>
                <w:b/>
                <w:bCs/>
                <w:i/>
                <w:iCs/>
                <w:color w:val="000000"/>
                <w:sz w:val="20"/>
                <w:szCs w:val="20"/>
                <w:lang w:eastAsia="tr-TR"/>
              </w:rPr>
            </w:pPr>
            <w:r w:rsidRPr="00DD5FCF">
              <w:rPr>
                <w:rFonts w:ascii="Calibri" w:eastAsia="Times New Roman" w:hAnsi="Calibri" w:cs="Calibri"/>
                <w:b/>
                <w:bCs/>
                <w:i/>
                <w:iCs/>
                <w:color w:val="000000"/>
                <w:sz w:val="20"/>
                <w:szCs w:val="20"/>
                <w:lang w:eastAsia="tr-TR"/>
              </w:rPr>
              <w:t xml:space="preserve">Aylık Kontrat Pozisyon Limit </w:t>
            </w:r>
          </w:p>
        </w:tc>
      </w:tr>
      <w:tr w:rsidR="00C36A81" w:rsidRPr="00DD5FCF" w:rsidTr="00681675">
        <w:trPr>
          <w:trHeight w:val="200"/>
        </w:trPr>
        <w:tc>
          <w:tcPr>
            <w:tcW w:w="2406" w:type="dxa"/>
            <w:tcBorders>
              <w:top w:val="nil"/>
              <w:left w:val="single" w:sz="8" w:space="0" w:color="BDD6EE"/>
              <w:bottom w:val="single" w:sz="8" w:space="0" w:color="BDD6EE"/>
              <w:right w:val="single" w:sz="8" w:space="0" w:color="BDD6EE"/>
            </w:tcBorders>
            <w:shd w:val="clear" w:color="auto" w:fill="auto"/>
            <w:noWrap/>
            <w:vAlign w:val="center"/>
            <w:hideMark/>
          </w:tcPr>
          <w:p w:rsidR="00C36A81" w:rsidRPr="00DD5FCF" w:rsidRDefault="00C36A81" w:rsidP="00C36A81">
            <w:pPr>
              <w:spacing w:after="0" w:line="240" w:lineRule="auto"/>
              <w:jc w:val="center"/>
              <w:rPr>
                <w:rFonts w:ascii="Calibri" w:eastAsia="Times New Roman" w:hAnsi="Calibri" w:cs="Calibri"/>
                <w:b/>
                <w:bCs/>
                <w:color w:val="000000"/>
                <w:sz w:val="20"/>
                <w:szCs w:val="20"/>
                <w:lang w:eastAsia="tr-TR"/>
              </w:rPr>
            </w:pPr>
            <w:r w:rsidRPr="00DD5FCF">
              <w:rPr>
                <w:rFonts w:ascii="Calibri" w:eastAsia="Times New Roman" w:hAnsi="Calibri" w:cs="Calibri"/>
                <w:b/>
                <w:bCs/>
                <w:color w:val="000000"/>
                <w:sz w:val="20"/>
                <w:szCs w:val="20"/>
                <w:lang w:eastAsia="tr-TR"/>
              </w:rPr>
              <w:t>MWh</w:t>
            </w:r>
          </w:p>
        </w:tc>
        <w:tc>
          <w:tcPr>
            <w:tcW w:w="1989" w:type="dxa"/>
            <w:tcBorders>
              <w:top w:val="nil"/>
              <w:left w:val="nil"/>
              <w:bottom w:val="single" w:sz="8" w:space="0" w:color="BDD6EE"/>
              <w:right w:val="single" w:sz="8" w:space="0" w:color="BDD6EE"/>
            </w:tcBorders>
            <w:shd w:val="clear" w:color="auto" w:fill="auto"/>
            <w:noWrap/>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216.972</w:t>
            </w:r>
          </w:p>
        </w:tc>
        <w:tc>
          <w:tcPr>
            <w:tcW w:w="2693" w:type="dxa"/>
            <w:tcBorders>
              <w:top w:val="nil"/>
              <w:left w:val="nil"/>
              <w:bottom w:val="single" w:sz="8" w:space="0" w:color="BDD6EE"/>
              <w:right w:val="single" w:sz="8" w:space="0" w:color="BDD6EE"/>
            </w:tcBorders>
            <w:shd w:val="clear" w:color="auto" w:fill="auto"/>
            <w:noWrap/>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650.916</w:t>
            </w:r>
          </w:p>
        </w:tc>
        <w:tc>
          <w:tcPr>
            <w:tcW w:w="2410" w:type="dxa"/>
            <w:tcBorders>
              <w:top w:val="nil"/>
              <w:left w:val="nil"/>
              <w:bottom w:val="single" w:sz="8" w:space="0" w:color="BDD6EE"/>
              <w:right w:val="single" w:sz="8" w:space="0" w:color="BDD6EE"/>
            </w:tcBorders>
            <w:shd w:val="clear" w:color="auto" w:fill="auto"/>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1.301.831</w:t>
            </w:r>
          </w:p>
        </w:tc>
      </w:tr>
      <w:tr w:rsidR="00C36A81" w:rsidRPr="00DD5FCF" w:rsidTr="00681675">
        <w:trPr>
          <w:trHeight w:val="200"/>
        </w:trPr>
        <w:tc>
          <w:tcPr>
            <w:tcW w:w="2406" w:type="dxa"/>
            <w:tcBorders>
              <w:top w:val="nil"/>
              <w:left w:val="single" w:sz="8" w:space="0" w:color="BDD6EE"/>
              <w:bottom w:val="single" w:sz="8" w:space="0" w:color="BDD6EE"/>
              <w:right w:val="single" w:sz="8" w:space="0" w:color="BDD6EE"/>
            </w:tcBorders>
            <w:shd w:val="clear" w:color="auto" w:fill="auto"/>
            <w:noWrap/>
            <w:vAlign w:val="center"/>
            <w:hideMark/>
          </w:tcPr>
          <w:p w:rsidR="00C36A81" w:rsidRPr="00DD5FCF" w:rsidRDefault="00C36A81" w:rsidP="00C36A81">
            <w:pPr>
              <w:spacing w:after="0" w:line="240" w:lineRule="auto"/>
              <w:jc w:val="center"/>
              <w:rPr>
                <w:rFonts w:ascii="Calibri" w:eastAsia="Times New Roman" w:hAnsi="Calibri" w:cs="Calibri"/>
                <w:b/>
                <w:bCs/>
                <w:color w:val="000000"/>
                <w:sz w:val="20"/>
                <w:szCs w:val="20"/>
                <w:lang w:eastAsia="tr-TR"/>
              </w:rPr>
            </w:pPr>
            <w:r w:rsidRPr="00DD5FCF">
              <w:rPr>
                <w:rFonts w:ascii="Calibri" w:eastAsia="Times New Roman" w:hAnsi="Calibri" w:cs="Calibri"/>
                <w:b/>
                <w:bCs/>
                <w:color w:val="000000"/>
                <w:sz w:val="20"/>
                <w:szCs w:val="20"/>
                <w:lang w:eastAsia="tr-TR"/>
              </w:rPr>
              <w:t>MW</w:t>
            </w:r>
          </w:p>
        </w:tc>
        <w:tc>
          <w:tcPr>
            <w:tcW w:w="1989" w:type="dxa"/>
            <w:tcBorders>
              <w:top w:val="nil"/>
              <w:left w:val="nil"/>
              <w:bottom w:val="single" w:sz="8" w:space="0" w:color="BDD6EE"/>
              <w:right w:val="single" w:sz="8" w:space="0" w:color="BDD6EE"/>
            </w:tcBorders>
            <w:shd w:val="clear" w:color="auto" w:fill="auto"/>
            <w:noWrap/>
          </w:tcPr>
          <w:p w:rsidR="00C36A81" w:rsidRPr="00C36A81" w:rsidRDefault="008C35CF" w:rsidP="00C36A8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w:t>
            </w:r>
          </w:p>
        </w:tc>
        <w:tc>
          <w:tcPr>
            <w:tcW w:w="2693" w:type="dxa"/>
            <w:tcBorders>
              <w:top w:val="nil"/>
              <w:left w:val="nil"/>
              <w:bottom w:val="single" w:sz="8" w:space="0" w:color="BDD6EE"/>
              <w:right w:val="single" w:sz="8" w:space="0" w:color="BDD6EE"/>
            </w:tcBorders>
            <w:shd w:val="clear" w:color="auto" w:fill="auto"/>
            <w:noWrap/>
          </w:tcPr>
          <w:p w:rsidR="00C36A81" w:rsidRPr="00C36A81" w:rsidRDefault="008C35CF" w:rsidP="00C36A81">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74</w:t>
            </w:r>
          </w:p>
        </w:tc>
        <w:tc>
          <w:tcPr>
            <w:tcW w:w="2410" w:type="dxa"/>
            <w:tcBorders>
              <w:top w:val="nil"/>
              <w:left w:val="nil"/>
              <w:bottom w:val="single" w:sz="8" w:space="0" w:color="BDD6EE"/>
              <w:right w:val="single" w:sz="8" w:space="0" w:color="BDD6EE"/>
            </w:tcBorders>
            <w:shd w:val="clear" w:color="auto" w:fill="auto"/>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149</w:t>
            </w:r>
          </w:p>
        </w:tc>
      </w:tr>
      <w:tr w:rsidR="00C36A81" w:rsidRPr="00DD5FCF" w:rsidTr="00681675">
        <w:trPr>
          <w:trHeight w:val="200"/>
        </w:trPr>
        <w:tc>
          <w:tcPr>
            <w:tcW w:w="2406" w:type="dxa"/>
            <w:tcBorders>
              <w:top w:val="nil"/>
              <w:left w:val="single" w:sz="8" w:space="0" w:color="BDD6EE"/>
              <w:bottom w:val="single" w:sz="8" w:space="0" w:color="BDD6EE"/>
              <w:right w:val="single" w:sz="8" w:space="0" w:color="BDD6EE"/>
            </w:tcBorders>
            <w:shd w:val="clear" w:color="auto" w:fill="auto"/>
            <w:noWrap/>
            <w:vAlign w:val="center"/>
            <w:hideMark/>
          </w:tcPr>
          <w:p w:rsidR="00C36A81" w:rsidRPr="00DD5FCF" w:rsidRDefault="00C36A81" w:rsidP="00C36A81">
            <w:pPr>
              <w:spacing w:after="0" w:line="240" w:lineRule="auto"/>
              <w:jc w:val="center"/>
              <w:rPr>
                <w:rFonts w:ascii="Calibri" w:eastAsia="Times New Roman" w:hAnsi="Calibri" w:cs="Calibri"/>
                <w:b/>
                <w:bCs/>
                <w:color w:val="000000"/>
                <w:sz w:val="20"/>
                <w:szCs w:val="20"/>
                <w:lang w:eastAsia="tr-TR"/>
              </w:rPr>
            </w:pPr>
            <w:r w:rsidRPr="00DD5FCF">
              <w:rPr>
                <w:rFonts w:ascii="Calibri" w:eastAsia="Times New Roman" w:hAnsi="Calibri" w:cs="Calibri"/>
                <w:b/>
                <w:bCs/>
                <w:color w:val="000000"/>
                <w:sz w:val="20"/>
                <w:szCs w:val="20"/>
                <w:lang w:eastAsia="tr-TR"/>
              </w:rPr>
              <w:t>Lot</w:t>
            </w:r>
          </w:p>
        </w:tc>
        <w:tc>
          <w:tcPr>
            <w:tcW w:w="1989" w:type="dxa"/>
            <w:tcBorders>
              <w:top w:val="nil"/>
              <w:left w:val="nil"/>
              <w:bottom w:val="single" w:sz="8" w:space="0" w:color="BDD6EE"/>
              <w:right w:val="single" w:sz="8" w:space="0" w:color="BDD6EE"/>
            </w:tcBorders>
            <w:shd w:val="clear" w:color="auto" w:fill="auto"/>
            <w:noWrap/>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2.169.720</w:t>
            </w:r>
          </w:p>
        </w:tc>
        <w:tc>
          <w:tcPr>
            <w:tcW w:w="2693" w:type="dxa"/>
            <w:tcBorders>
              <w:top w:val="nil"/>
              <w:left w:val="nil"/>
              <w:bottom w:val="single" w:sz="8" w:space="0" w:color="BDD6EE"/>
              <w:right w:val="single" w:sz="8" w:space="0" w:color="BDD6EE"/>
            </w:tcBorders>
            <w:shd w:val="clear" w:color="auto" w:fill="auto"/>
            <w:noWrap/>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6.509.160</w:t>
            </w:r>
          </w:p>
        </w:tc>
        <w:tc>
          <w:tcPr>
            <w:tcW w:w="2410" w:type="dxa"/>
            <w:tcBorders>
              <w:top w:val="nil"/>
              <w:left w:val="nil"/>
              <w:bottom w:val="single" w:sz="8" w:space="0" w:color="BDD6EE"/>
              <w:right w:val="single" w:sz="8" w:space="0" w:color="BDD6EE"/>
            </w:tcBorders>
            <w:shd w:val="clear" w:color="auto" w:fill="auto"/>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13.018.314</w:t>
            </w:r>
          </w:p>
        </w:tc>
      </w:tr>
      <w:tr w:rsidR="00C36A81" w:rsidRPr="00DD5FCF" w:rsidTr="00681675">
        <w:trPr>
          <w:trHeight w:val="200"/>
        </w:trPr>
        <w:tc>
          <w:tcPr>
            <w:tcW w:w="2406" w:type="dxa"/>
            <w:tcBorders>
              <w:top w:val="nil"/>
              <w:left w:val="single" w:sz="8" w:space="0" w:color="BDD6EE"/>
              <w:bottom w:val="single" w:sz="8" w:space="0" w:color="BDD6EE"/>
              <w:right w:val="single" w:sz="8" w:space="0" w:color="BDD6EE"/>
            </w:tcBorders>
            <w:shd w:val="clear" w:color="auto" w:fill="auto"/>
            <w:noWrap/>
            <w:vAlign w:val="center"/>
            <w:hideMark/>
          </w:tcPr>
          <w:p w:rsidR="00C36A81" w:rsidRPr="00DD5FCF" w:rsidRDefault="00C36A81" w:rsidP="00C36A81">
            <w:pPr>
              <w:spacing w:after="0" w:line="240" w:lineRule="auto"/>
              <w:jc w:val="center"/>
              <w:rPr>
                <w:rFonts w:ascii="Calibri" w:eastAsia="Times New Roman" w:hAnsi="Calibri" w:cs="Calibri"/>
                <w:b/>
                <w:bCs/>
                <w:color w:val="000000"/>
                <w:sz w:val="20"/>
                <w:szCs w:val="20"/>
                <w:lang w:eastAsia="tr-TR"/>
              </w:rPr>
            </w:pPr>
            <w:r w:rsidRPr="00DD5FCF">
              <w:rPr>
                <w:rFonts w:ascii="Calibri" w:eastAsia="Times New Roman" w:hAnsi="Calibri" w:cs="Calibri"/>
                <w:b/>
                <w:bCs/>
                <w:color w:val="000000"/>
                <w:sz w:val="20"/>
                <w:szCs w:val="20"/>
                <w:lang w:eastAsia="tr-TR"/>
              </w:rPr>
              <w:t>Saatlik Lot</w:t>
            </w:r>
          </w:p>
        </w:tc>
        <w:tc>
          <w:tcPr>
            <w:tcW w:w="1989" w:type="dxa"/>
            <w:tcBorders>
              <w:top w:val="nil"/>
              <w:left w:val="nil"/>
              <w:bottom w:val="single" w:sz="8" w:space="0" w:color="BDD6EE"/>
              <w:right w:val="single" w:sz="8" w:space="0" w:color="BDD6EE"/>
            </w:tcBorders>
            <w:shd w:val="clear" w:color="auto" w:fill="auto"/>
            <w:noWrap/>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247</w:t>
            </w:r>
          </w:p>
        </w:tc>
        <w:tc>
          <w:tcPr>
            <w:tcW w:w="2693" w:type="dxa"/>
            <w:tcBorders>
              <w:top w:val="nil"/>
              <w:left w:val="nil"/>
              <w:bottom w:val="single" w:sz="8" w:space="0" w:color="BDD6EE"/>
              <w:right w:val="single" w:sz="8" w:space="0" w:color="BDD6EE"/>
            </w:tcBorders>
            <w:shd w:val="clear" w:color="auto" w:fill="auto"/>
            <w:noWrap/>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743</w:t>
            </w:r>
          </w:p>
        </w:tc>
        <w:tc>
          <w:tcPr>
            <w:tcW w:w="2410" w:type="dxa"/>
            <w:tcBorders>
              <w:top w:val="nil"/>
              <w:left w:val="nil"/>
              <w:bottom w:val="single" w:sz="8" w:space="0" w:color="BDD6EE"/>
              <w:right w:val="single" w:sz="8" w:space="0" w:color="BDD6EE"/>
            </w:tcBorders>
            <w:shd w:val="clear" w:color="auto" w:fill="auto"/>
          </w:tcPr>
          <w:p w:rsidR="00C36A81" w:rsidRPr="00C36A81" w:rsidRDefault="00C36A81" w:rsidP="00C36A81">
            <w:pPr>
              <w:spacing w:after="0" w:line="240" w:lineRule="auto"/>
              <w:jc w:val="center"/>
              <w:rPr>
                <w:rFonts w:ascii="Calibri" w:eastAsia="Times New Roman" w:hAnsi="Calibri" w:cs="Calibri"/>
                <w:color w:val="000000"/>
                <w:sz w:val="18"/>
                <w:szCs w:val="18"/>
                <w:lang w:eastAsia="tr-TR"/>
              </w:rPr>
            </w:pPr>
            <w:r w:rsidRPr="00C36A81">
              <w:rPr>
                <w:rFonts w:ascii="Calibri" w:eastAsia="Times New Roman" w:hAnsi="Calibri" w:cs="Calibri"/>
                <w:color w:val="000000"/>
                <w:sz w:val="18"/>
                <w:szCs w:val="18"/>
                <w:lang w:eastAsia="tr-TR"/>
              </w:rPr>
              <w:t>1.486</w:t>
            </w:r>
          </w:p>
        </w:tc>
      </w:tr>
    </w:tbl>
    <w:p w:rsidR="00777B7C" w:rsidRDefault="00313215" w:rsidP="005E37F4">
      <w:pPr>
        <w:pStyle w:val="Caption"/>
        <w:jc w:val="center"/>
        <w:rPr>
          <w:rFonts w:cstheme="minorHAnsi"/>
        </w:rPr>
      </w:pPr>
      <w:bookmarkStart w:id="22" w:name="_Toc85098566"/>
      <w:r w:rsidRPr="00313215">
        <w:rPr>
          <w:rFonts w:cstheme="minorHAnsi"/>
        </w:rPr>
        <w:t xml:space="preserve">Tablo </w:t>
      </w:r>
      <w:r w:rsidR="00B56224">
        <w:rPr>
          <w:rFonts w:cstheme="minorHAnsi"/>
        </w:rPr>
        <w:fldChar w:fldCharType="begin"/>
      </w:r>
      <w:r w:rsidR="00B56224">
        <w:rPr>
          <w:rFonts w:cstheme="minorHAnsi"/>
        </w:rPr>
        <w:instrText xml:space="preserve"> SEQ Tablo \* ARABIC </w:instrText>
      </w:r>
      <w:r w:rsidR="00B56224">
        <w:rPr>
          <w:rFonts w:cstheme="minorHAnsi"/>
        </w:rPr>
        <w:fldChar w:fldCharType="separate"/>
      </w:r>
      <w:r w:rsidR="00D12D06">
        <w:rPr>
          <w:rFonts w:cstheme="minorHAnsi"/>
          <w:noProof/>
        </w:rPr>
        <w:t>11</w:t>
      </w:r>
      <w:r w:rsidR="00B56224">
        <w:rPr>
          <w:rFonts w:cstheme="minorHAnsi"/>
        </w:rPr>
        <w:fldChar w:fldCharType="end"/>
      </w:r>
      <w:r w:rsidRPr="00313215">
        <w:rPr>
          <w:rFonts w:cstheme="minorHAnsi"/>
        </w:rPr>
        <w:t xml:space="preserve">  Örnek Katılımcı Toplam Piyasa Pozisyon Limitleri</w:t>
      </w:r>
      <w:bookmarkEnd w:id="22"/>
    </w:p>
    <w:p w:rsidR="00777B7C" w:rsidRDefault="00777B7C" w:rsidP="000532DB">
      <w:pPr>
        <w:rPr>
          <w:rFonts w:cstheme="minorHAnsi"/>
        </w:rPr>
      </w:pPr>
    </w:p>
    <w:p w:rsidR="00313215" w:rsidRDefault="00313215" w:rsidP="00AD13B0">
      <w:pPr>
        <w:ind w:firstLine="708"/>
        <w:rPr>
          <w:rFonts w:cstheme="minorHAnsi"/>
        </w:rPr>
      </w:pPr>
      <w:r w:rsidRPr="00313215">
        <w:rPr>
          <w:rFonts w:cstheme="minorHAnsi"/>
        </w:rPr>
        <w:t>X Enerji A.Ş nin her çeyrek için sahip olabileceği pozisyon limitleri çeyreklik kontrat pozisyon limitinin çeyreklerin tüketim karakteristiklerine göre dağıtılması ile hesaplanır.</w:t>
      </w:r>
    </w:p>
    <w:tbl>
      <w:tblPr>
        <w:tblW w:w="9012" w:type="dxa"/>
        <w:tblInd w:w="-10" w:type="dxa"/>
        <w:tblCellMar>
          <w:left w:w="70" w:type="dxa"/>
          <w:right w:w="70" w:type="dxa"/>
        </w:tblCellMar>
        <w:tblLook w:val="04A0" w:firstRow="1" w:lastRow="0" w:firstColumn="1" w:lastColumn="0" w:noHBand="0" w:noVBand="1"/>
      </w:tblPr>
      <w:tblGrid>
        <w:gridCol w:w="2013"/>
        <w:gridCol w:w="1749"/>
        <w:gridCol w:w="1749"/>
        <w:gridCol w:w="1749"/>
        <w:gridCol w:w="1752"/>
      </w:tblGrid>
      <w:tr w:rsidR="000532DB" w:rsidRPr="000532DB" w:rsidTr="000532DB">
        <w:trPr>
          <w:trHeight w:val="141"/>
        </w:trPr>
        <w:tc>
          <w:tcPr>
            <w:tcW w:w="9012" w:type="dxa"/>
            <w:gridSpan w:val="5"/>
            <w:tcBorders>
              <w:top w:val="single" w:sz="8" w:space="0" w:color="BDD6EE"/>
              <w:left w:val="single" w:sz="8" w:space="0" w:color="BDD6EE"/>
              <w:bottom w:val="single" w:sz="12" w:space="0" w:color="9CC2E5"/>
              <w:right w:val="single" w:sz="8" w:space="0" w:color="BDD6EE"/>
            </w:tcBorders>
            <w:shd w:val="clear" w:color="000000" w:fill="DEEAF6"/>
            <w:noWrap/>
            <w:vAlign w:val="center"/>
            <w:hideMark/>
          </w:tcPr>
          <w:p w:rsidR="000532DB" w:rsidRPr="000532DB" w:rsidRDefault="000532DB" w:rsidP="000532DB">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X Enerji A.Ş. Çeyreklik Kontratlar İçin Pozisyon Limitleri </w:t>
            </w:r>
          </w:p>
        </w:tc>
      </w:tr>
      <w:tr w:rsidR="000532DB" w:rsidRPr="000532DB" w:rsidTr="008C35CF">
        <w:trPr>
          <w:trHeight w:val="357"/>
        </w:trPr>
        <w:tc>
          <w:tcPr>
            <w:tcW w:w="2013" w:type="dxa"/>
            <w:tcBorders>
              <w:top w:val="nil"/>
              <w:left w:val="single" w:sz="8" w:space="0" w:color="BDD6EE"/>
              <w:bottom w:val="single" w:sz="8" w:space="0" w:color="BDD6EE"/>
              <w:right w:val="single" w:sz="8" w:space="0" w:color="BDD6EE"/>
            </w:tcBorders>
            <w:shd w:val="clear" w:color="000000" w:fill="DEEAF6"/>
            <w:vAlign w:val="center"/>
            <w:hideMark/>
          </w:tcPr>
          <w:p w:rsidR="000532DB" w:rsidRPr="000532DB" w:rsidRDefault="000532DB" w:rsidP="000532DB">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2021</w:t>
            </w:r>
          </w:p>
        </w:tc>
        <w:tc>
          <w:tcPr>
            <w:tcW w:w="1749" w:type="dxa"/>
            <w:tcBorders>
              <w:top w:val="nil"/>
              <w:left w:val="nil"/>
              <w:bottom w:val="single" w:sz="8" w:space="0" w:color="BDD6EE"/>
              <w:right w:val="single" w:sz="8" w:space="0" w:color="BDD6EE"/>
            </w:tcBorders>
            <w:shd w:val="clear" w:color="000000" w:fill="DEEAF6"/>
            <w:vAlign w:val="center"/>
            <w:hideMark/>
          </w:tcPr>
          <w:p w:rsidR="000532DB" w:rsidRPr="000532DB" w:rsidRDefault="000532DB" w:rsidP="000532DB">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1. Çeyrek Pozisyon Limiti  </w:t>
            </w:r>
          </w:p>
        </w:tc>
        <w:tc>
          <w:tcPr>
            <w:tcW w:w="1749" w:type="dxa"/>
            <w:tcBorders>
              <w:top w:val="nil"/>
              <w:left w:val="nil"/>
              <w:bottom w:val="single" w:sz="8" w:space="0" w:color="BDD6EE"/>
              <w:right w:val="single" w:sz="8" w:space="0" w:color="BDD6EE"/>
            </w:tcBorders>
            <w:shd w:val="clear" w:color="000000" w:fill="DEEAF6"/>
            <w:vAlign w:val="center"/>
            <w:hideMark/>
          </w:tcPr>
          <w:p w:rsidR="000532DB" w:rsidRPr="000532DB" w:rsidRDefault="000532DB" w:rsidP="000532DB">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2. Çeyrek Pozisyon Limiti </w:t>
            </w:r>
          </w:p>
        </w:tc>
        <w:tc>
          <w:tcPr>
            <w:tcW w:w="1749" w:type="dxa"/>
            <w:tcBorders>
              <w:top w:val="nil"/>
              <w:left w:val="nil"/>
              <w:bottom w:val="single" w:sz="8" w:space="0" w:color="BDD6EE"/>
              <w:right w:val="single" w:sz="8" w:space="0" w:color="BDD6EE"/>
            </w:tcBorders>
            <w:shd w:val="clear" w:color="000000" w:fill="DEEAF6"/>
            <w:vAlign w:val="center"/>
            <w:hideMark/>
          </w:tcPr>
          <w:p w:rsidR="000532DB" w:rsidRPr="000532DB" w:rsidRDefault="000532DB" w:rsidP="000532DB">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3. Çeyrek Pozisyon Limiti </w:t>
            </w:r>
          </w:p>
        </w:tc>
        <w:tc>
          <w:tcPr>
            <w:tcW w:w="1752" w:type="dxa"/>
            <w:tcBorders>
              <w:top w:val="nil"/>
              <w:left w:val="nil"/>
              <w:bottom w:val="single" w:sz="8" w:space="0" w:color="BDD6EE"/>
              <w:right w:val="single" w:sz="8" w:space="0" w:color="BDD6EE"/>
            </w:tcBorders>
            <w:shd w:val="clear" w:color="000000" w:fill="DEEAF6"/>
            <w:vAlign w:val="center"/>
            <w:hideMark/>
          </w:tcPr>
          <w:p w:rsidR="000532DB" w:rsidRPr="000532DB" w:rsidRDefault="000532DB" w:rsidP="000532DB">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4. Çeyrek Pozisyon Limiti </w:t>
            </w:r>
          </w:p>
        </w:tc>
      </w:tr>
      <w:tr w:rsidR="008C35CF" w:rsidRPr="000532DB" w:rsidTr="008C35CF">
        <w:trPr>
          <w:trHeight w:val="141"/>
        </w:trPr>
        <w:tc>
          <w:tcPr>
            <w:tcW w:w="2013" w:type="dxa"/>
            <w:tcBorders>
              <w:top w:val="nil"/>
              <w:left w:val="single" w:sz="8" w:space="0" w:color="BDD6EE"/>
              <w:bottom w:val="single" w:sz="8" w:space="0" w:color="BDD6EE"/>
              <w:right w:val="single" w:sz="8" w:space="0" w:color="BDD6EE"/>
            </w:tcBorders>
            <w:shd w:val="clear" w:color="auto" w:fill="auto"/>
            <w:noWrap/>
            <w:vAlign w:val="center"/>
            <w:hideMark/>
          </w:tcPr>
          <w:p w:rsidR="008C35CF" w:rsidRPr="000532DB" w:rsidRDefault="008C35CF" w:rsidP="008C35CF">
            <w:pPr>
              <w:spacing w:after="0" w:line="240" w:lineRule="auto"/>
              <w:jc w:val="center"/>
              <w:rPr>
                <w:rFonts w:ascii="Calibri" w:eastAsia="Times New Roman" w:hAnsi="Calibri" w:cs="Calibri"/>
                <w:b/>
                <w:bCs/>
                <w:color w:val="000000"/>
                <w:sz w:val="20"/>
                <w:szCs w:val="20"/>
                <w:lang w:eastAsia="tr-TR"/>
              </w:rPr>
            </w:pPr>
            <w:r w:rsidRPr="000532DB">
              <w:rPr>
                <w:rFonts w:ascii="Calibri" w:eastAsia="Times New Roman" w:hAnsi="Calibri" w:cs="Calibri"/>
                <w:b/>
                <w:bCs/>
                <w:color w:val="000000"/>
                <w:sz w:val="20"/>
                <w:szCs w:val="20"/>
                <w:lang w:eastAsia="tr-TR"/>
              </w:rPr>
              <w:t>MWh</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164.197</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139.531</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181.669</w:t>
            </w:r>
          </w:p>
        </w:tc>
        <w:tc>
          <w:tcPr>
            <w:tcW w:w="175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165.520</w:t>
            </w:r>
          </w:p>
        </w:tc>
      </w:tr>
      <w:tr w:rsidR="008C35CF" w:rsidRPr="000532DB" w:rsidTr="008C35CF">
        <w:trPr>
          <w:trHeight w:val="141"/>
        </w:trPr>
        <w:tc>
          <w:tcPr>
            <w:tcW w:w="2013" w:type="dxa"/>
            <w:tcBorders>
              <w:top w:val="nil"/>
              <w:left w:val="single" w:sz="8" w:space="0" w:color="BDD6EE"/>
              <w:bottom w:val="single" w:sz="8" w:space="0" w:color="BDD6EE"/>
              <w:right w:val="single" w:sz="8" w:space="0" w:color="BDD6EE"/>
            </w:tcBorders>
            <w:shd w:val="clear" w:color="auto" w:fill="auto"/>
            <w:noWrap/>
            <w:vAlign w:val="center"/>
            <w:hideMark/>
          </w:tcPr>
          <w:p w:rsidR="008C35CF" w:rsidRPr="000532DB" w:rsidRDefault="008C35CF" w:rsidP="008C35CF">
            <w:pPr>
              <w:spacing w:after="0" w:line="240" w:lineRule="auto"/>
              <w:jc w:val="center"/>
              <w:rPr>
                <w:rFonts w:ascii="Calibri" w:eastAsia="Times New Roman" w:hAnsi="Calibri" w:cs="Calibri"/>
                <w:b/>
                <w:bCs/>
                <w:color w:val="000000"/>
                <w:sz w:val="20"/>
                <w:szCs w:val="20"/>
                <w:lang w:eastAsia="tr-TR"/>
              </w:rPr>
            </w:pPr>
            <w:r w:rsidRPr="000532DB">
              <w:rPr>
                <w:rFonts w:ascii="Calibri" w:eastAsia="Times New Roman" w:hAnsi="Calibri" w:cs="Calibri"/>
                <w:b/>
                <w:bCs/>
                <w:color w:val="000000"/>
                <w:sz w:val="20"/>
                <w:szCs w:val="20"/>
                <w:lang w:eastAsia="tr-TR"/>
              </w:rPr>
              <w:t>MW</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76</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64</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82</w:t>
            </w:r>
          </w:p>
        </w:tc>
        <w:tc>
          <w:tcPr>
            <w:tcW w:w="175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75</w:t>
            </w:r>
          </w:p>
        </w:tc>
      </w:tr>
      <w:tr w:rsidR="008C35CF" w:rsidRPr="000532DB" w:rsidTr="008C35CF">
        <w:trPr>
          <w:trHeight w:val="141"/>
        </w:trPr>
        <w:tc>
          <w:tcPr>
            <w:tcW w:w="2013" w:type="dxa"/>
            <w:tcBorders>
              <w:top w:val="nil"/>
              <w:left w:val="single" w:sz="8" w:space="0" w:color="BDD6EE"/>
              <w:bottom w:val="single" w:sz="8" w:space="0" w:color="BDD6EE"/>
              <w:right w:val="single" w:sz="8" w:space="0" w:color="BDD6EE"/>
            </w:tcBorders>
            <w:shd w:val="clear" w:color="auto" w:fill="auto"/>
            <w:noWrap/>
            <w:vAlign w:val="center"/>
            <w:hideMark/>
          </w:tcPr>
          <w:p w:rsidR="008C35CF" w:rsidRPr="000532DB" w:rsidRDefault="008C35CF" w:rsidP="008C35CF">
            <w:pPr>
              <w:spacing w:after="0" w:line="240" w:lineRule="auto"/>
              <w:jc w:val="center"/>
              <w:rPr>
                <w:rFonts w:ascii="Calibri" w:eastAsia="Times New Roman" w:hAnsi="Calibri" w:cs="Calibri"/>
                <w:b/>
                <w:bCs/>
                <w:color w:val="000000"/>
                <w:sz w:val="20"/>
                <w:szCs w:val="20"/>
                <w:lang w:eastAsia="tr-TR"/>
              </w:rPr>
            </w:pPr>
            <w:r w:rsidRPr="000532DB">
              <w:rPr>
                <w:rFonts w:ascii="Calibri" w:eastAsia="Times New Roman" w:hAnsi="Calibri" w:cs="Calibri"/>
                <w:b/>
                <w:bCs/>
                <w:color w:val="000000"/>
                <w:sz w:val="20"/>
                <w:szCs w:val="20"/>
                <w:lang w:eastAsia="tr-TR"/>
              </w:rPr>
              <w:t>Lot</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1.641.965</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1.395.308</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1.816.692</w:t>
            </w:r>
          </w:p>
        </w:tc>
        <w:tc>
          <w:tcPr>
            <w:tcW w:w="175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1.655.195</w:t>
            </w:r>
          </w:p>
        </w:tc>
      </w:tr>
      <w:tr w:rsidR="008C35CF" w:rsidRPr="000532DB" w:rsidTr="008C35CF">
        <w:trPr>
          <w:trHeight w:val="141"/>
        </w:trPr>
        <w:tc>
          <w:tcPr>
            <w:tcW w:w="2013" w:type="dxa"/>
            <w:tcBorders>
              <w:top w:val="nil"/>
              <w:left w:val="single" w:sz="8" w:space="0" w:color="BDD6EE"/>
              <w:bottom w:val="single" w:sz="8" w:space="0" w:color="BDD6EE"/>
              <w:right w:val="single" w:sz="8" w:space="0" w:color="BDD6EE"/>
            </w:tcBorders>
            <w:shd w:val="clear" w:color="auto" w:fill="auto"/>
            <w:noWrap/>
            <w:vAlign w:val="center"/>
            <w:hideMark/>
          </w:tcPr>
          <w:p w:rsidR="008C35CF" w:rsidRPr="000532DB" w:rsidRDefault="008C35CF" w:rsidP="008C35CF">
            <w:pPr>
              <w:spacing w:after="0" w:line="240" w:lineRule="auto"/>
              <w:jc w:val="center"/>
              <w:rPr>
                <w:rFonts w:ascii="Calibri" w:eastAsia="Times New Roman" w:hAnsi="Calibri" w:cs="Calibri"/>
                <w:b/>
                <w:bCs/>
                <w:color w:val="000000"/>
                <w:sz w:val="20"/>
                <w:szCs w:val="20"/>
                <w:lang w:eastAsia="tr-TR"/>
              </w:rPr>
            </w:pPr>
            <w:r w:rsidRPr="000532DB">
              <w:rPr>
                <w:rFonts w:ascii="Calibri" w:eastAsia="Times New Roman" w:hAnsi="Calibri" w:cs="Calibri"/>
                <w:b/>
                <w:bCs/>
                <w:color w:val="000000"/>
                <w:sz w:val="20"/>
                <w:szCs w:val="20"/>
                <w:lang w:eastAsia="tr-TR"/>
              </w:rPr>
              <w:t>Saatlik Lot</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760</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638</w:t>
            </w:r>
          </w:p>
        </w:tc>
        <w:tc>
          <w:tcPr>
            <w:tcW w:w="1749"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822</w:t>
            </w:r>
          </w:p>
        </w:tc>
        <w:tc>
          <w:tcPr>
            <w:tcW w:w="175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18"/>
                <w:szCs w:val="18"/>
                <w:lang w:eastAsia="tr-TR"/>
              </w:rPr>
            </w:pPr>
            <w:r w:rsidRPr="008C35CF">
              <w:rPr>
                <w:rFonts w:ascii="Calibri" w:eastAsia="Times New Roman" w:hAnsi="Calibri" w:cs="Calibri"/>
                <w:color w:val="000000"/>
                <w:sz w:val="18"/>
                <w:szCs w:val="18"/>
                <w:lang w:eastAsia="tr-TR"/>
              </w:rPr>
              <w:t>749</w:t>
            </w:r>
          </w:p>
        </w:tc>
      </w:tr>
    </w:tbl>
    <w:p w:rsidR="00DD5FCF" w:rsidRDefault="00313215" w:rsidP="00E66667">
      <w:pPr>
        <w:pStyle w:val="Caption"/>
        <w:jc w:val="center"/>
        <w:rPr>
          <w:rFonts w:cstheme="minorHAnsi"/>
        </w:rPr>
      </w:pPr>
      <w:bookmarkStart w:id="23" w:name="_Toc85098567"/>
      <w:r w:rsidRPr="00313215">
        <w:rPr>
          <w:rFonts w:cstheme="minorHAnsi"/>
        </w:rPr>
        <w:t xml:space="preserve">Tablo </w:t>
      </w:r>
      <w:r w:rsidR="00B56224">
        <w:rPr>
          <w:rFonts w:cstheme="minorHAnsi"/>
        </w:rPr>
        <w:fldChar w:fldCharType="begin"/>
      </w:r>
      <w:r w:rsidR="00B56224">
        <w:rPr>
          <w:rFonts w:cstheme="minorHAnsi"/>
        </w:rPr>
        <w:instrText xml:space="preserve"> SEQ Tablo \* ARABIC </w:instrText>
      </w:r>
      <w:r w:rsidR="00B56224">
        <w:rPr>
          <w:rFonts w:cstheme="minorHAnsi"/>
        </w:rPr>
        <w:fldChar w:fldCharType="separate"/>
      </w:r>
      <w:r w:rsidR="00D12D06">
        <w:rPr>
          <w:rFonts w:cstheme="minorHAnsi"/>
          <w:noProof/>
        </w:rPr>
        <w:t>12</w:t>
      </w:r>
      <w:r w:rsidR="00B56224">
        <w:rPr>
          <w:rFonts w:cstheme="minorHAnsi"/>
        </w:rPr>
        <w:fldChar w:fldCharType="end"/>
      </w:r>
      <w:r w:rsidRPr="00313215">
        <w:rPr>
          <w:rFonts w:cstheme="minorHAnsi"/>
        </w:rPr>
        <w:t xml:space="preserve">  Örnek Katılımcı Çeyreklik Pozisyon Limitleri</w:t>
      </w:r>
      <w:bookmarkEnd w:id="23"/>
    </w:p>
    <w:p w:rsidR="00E66667" w:rsidRPr="00E66667" w:rsidRDefault="00E66667" w:rsidP="00E66667"/>
    <w:p w:rsidR="00313215" w:rsidRDefault="00313215" w:rsidP="00AD13B0">
      <w:pPr>
        <w:ind w:firstLine="708"/>
        <w:rPr>
          <w:rFonts w:cstheme="minorHAnsi"/>
        </w:rPr>
      </w:pPr>
      <w:r w:rsidRPr="00313215">
        <w:rPr>
          <w:rFonts w:cstheme="minorHAnsi"/>
        </w:rPr>
        <w:t>X Enerji A.Ş nin her ay için sahip olabileceği pozisyon limitleri ise X Enerji A.Ş. aylık kontrat pozisyon limitinin aylık tüketim karakteristiklerine göre dağıtılması ile hesaplanır.</w:t>
      </w:r>
    </w:p>
    <w:p w:rsidR="008C35CF" w:rsidRPr="00313215" w:rsidRDefault="008C35CF" w:rsidP="0082481D">
      <w:pPr>
        <w:rPr>
          <w:rFonts w:cstheme="minorHAnsi"/>
        </w:rPr>
      </w:pPr>
    </w:p>
    <w:tbl>
      <w:tblPr>
        <w:tblW w:w="9002" w:type="dxa"/>
        <w:tblInd w:w="-10" w:type="dxa"/>
        <w:tblCellMar>
          <w:left w:w="70" w:type="dxa"/>
          <w:right w:w="70" w:type="dxa"/>
        </w:tblCellMar>
        <w:tblLook w:val="04A0" w:firstRow="1" w:lastRow="0" w:firstColumn="1" w:lastColumn="0" w:noHBand="0" w:noVBand="1"/>
      </w:tblPr>
      <w:tblGrid>
        <w:gridCol w:w="2689"/>
        <w:gridCol w:w="2540"/>
        <w:gridCol w:w="1251"/>
        <w:gridCol w:w="1440"/>
        <w:gridCol w:w="1082"/>
      </w:tblGrid>
      <w:tr w:rsidR="000532DB" w:rsidRPr="000532DB" w:rsidTr="000532DB">
        <w:trPr>
          <w:trHeight w:val="161"/>
        </w:trPr>
        <w:tc>
          <w:tcPr>
            <w:tcW w:w="9002" w:type="dxa"/>
            <w:gridSpan w:val="5"/>
            <w:tcBorders>
              <w:top w:val="single" w:sz="8" w:space="0" w:color="BDD6EE"/>
              <w:left w:val="single" w:sz="8" w:space="0" w:color="BDD6EE"/>
              <w:bottom w:val="single" w:sz="12" w:space="0" w:color="9CC2E5"/>
              <w:right w:val="single" w:sz="8" w:space="0" w:color="BDD6EE"/>
            </w:tcBorders>
            <w:shd w:val="clear" w:color="000000" w:fill="DEEAF6"/>
            <w:noWrap/>
            <w:vAlign w:val="center"/>
            <w:hideMark/>
          </w:tcPr>
          <w:p w:rsidR="000532DB" w:rsidRPr="000532DB" w:rsidRDefault="000532DB" w:rsidP="000532DB">
            <w:pPr>
              <w:spacing w:after="0" w:line="240" w:lineRule="auto"/>
              <w:jc w:val="center"/>
              <w:rPr>
                <w:rFonts w:ascii="Calibri" w:eastAsia="Times New Roman" w:hAnsi="Calibri" w:cs="Calibri"/>
                <w:b/>
                <w:bCs/>
                <w:color w:val="000000"/>
                <w:lang w:eastAsia="tr-TR"/>
              </w:rPr>
            </w:pPr>
            <w:r w:rsidRPr="000532DB">
              <w:rPr>
                <w:rFonts w:ascii="Calibri" w:eastAsia="Times New Roman" w:hAnsi="Calibri" w:cs="Calibri"/>
                <w:b/>
                <w:bCs/>
                <w:color w:val="000000"/>
                <w:lang w:eastAsia="tr-TR"/>
              </w:rPr>
              <w:t>X Enerji A.Ş. Aylık Kontratlar Pozisyon Limitleri</w:t>
            </w:r>
          </w:p>
        </w:tc>
      </w:tr>
      <w:tr w:rsidR="000532DB" w:rsidRPr="000532DB" w:rsidTr="000532DB">
        <w:trPr>
          <w:trHeight w:val="169"/>
        </w:trPr>
        <w:tc>
          <w:tcPr>
            <w:tcW w:w="2689" w:type="dxa"/>
            <w:tcBorders>
              <w:top w:val="nil"/>
              <w:left w:val="single" w:sz="8" w:space="0" w:color="BDD6EE"/>
              <w:bottom w:val="single" w:sz="8" w:space="0" w:color="BDD6EE"/>
              <w:right w:val="single" w:sz="8" w:space="0" w:color="BDD6EE"/>
            </w:tcBorders>
            <w:shd w:val="clear" w:color="000000" w:fill="DEEAF6"/>
            <w:vAlign w:val="center"/>
            <w:hideMark/>
          </w:tcPr>
          <w:p w:rsidR="000532DB" w:rsidRPr="000532DB" w:rsidRDefault="000532DB" w:rsidP="000532DB">
            <w:pPr>
              <w:spacing w:after="0" w:line="240" w:lineRule="auto"/>
              <w:jc w:val="center"/>
              <w:rPr>
                <w:rFonts w:ascii="Calibri" w:eastAsia="Times New Roman" w:hAnsi="Calibri" w:cs="Calibri"/>
                <w:b/>
                <w:bCs/>
                <w:i/>
                <w:iCs/>
                <w:color w:val="000000"/>
                <w:sz w:val="18"/>
                <w:szCs w:val="18"/>
                <w:lang w:eastAsia="tr-TR"/>
              </w:rPr>
            </w:pPr>
            <w:r w:rsidRPr="000532DB">
              <w:rPr>
                <w:rFonts w:ascii="Calibri" w:eastAsia="Times New Roman" w:hAnsi="Calibri" w:cs="Calibri"/>
                <w:b/>
                <w:bCs/>
                <w:i/>
                <w:iCs/>
                <w:color w:val="000000"/>
                <w:sz w:val="18"/>
                <w:szCs w:val="18"/>
                <w:lang w:eastAsia="tr-TR"/>
              </w:rPr>
              <w:t>2021</w:t>
            </w:r>
          </w:p>
        </w:tc>
        <w:tc>
          <w:tcPr>
            <w:tcW w:w="2540" w:type="dxa"/>
            <w:tcBorders>
              <w:top w:val="nil"/>
              <w:left w:val="nil"/>
              <w:bottom w:val="single" w:sz="8" w:space="0" w:color="BDD6EE"/>
              <w:right w:val="single" w:sz="8" w:space="0" w:color="BDD6EE"/>
            </w:tcBorders>
            <w:shd w:val="clear" w:color="000000" w:fill="DEEAF6"/>
            <w:noWrap/>
            <w:vAlign w:val="center"/>
            <w:hideMark/>
          </w:tcPr>
          <w:p w:rsidR="000532DB" w:rsidRPr="000532DB" w:rsidRDefault="000532DB" w:rsidP="000532DB">
            <w:pPr>
              <w:spacing w:after="0" w:line="240" w:lineRule="auto"/>
              <w:jc w:val="center"/>
              <w:rPr>
                <w:rFonts w:ascii="Calibri" w:eastAsia="Times New Roman" w:hAnsi="Calibri" w:cs="Calibri"/>
                <w:b/>
                <w:bCs/>
                <w:color w:val="000000"/>
                <w:sz w:val="18"/>
                <w:szCs w:val="18"/>
                <w:lang w:eastAsia="tr-TR"/>
              </w:rPr>
            </w:pPr>
            <w:r w:rsidRPr="000532DB">
              <w:rPr>
                <w:rFonts w:ascii="Calibri" w:eastAsia="Times New Roman" w:hAnsi="Calibri" w:cs="Calibri"/>
                <w:b/>
                <w:bCs/>
                <w:color w:val="000000"/>
                <w:sz w:val="18"/>
                <w:szCs w:val="18"/>
                <w:lang w:eastAsia="tr-TR"/>
              </w:rPr>
              <w:t>MWh</w:t>
            </w:r>
          </w:p>
        </w:tc>
        <w:tc>
          <w:tcPr>
            <w:tcW w:w="1251" w:type="dxa"/>
            <w:tcBorders>
              <w:top w:val="nil"/>
              <w:left w:val="nil"/>
              <w:bottom w:val="single" w:sz="8" w:space="0" w:color="BDD6EE"/>
              <w:right w:val="single" w:sz="8" w:space="0" w:color="BDD6EE"/>
            </w:tcBorders>
            <w:shd w:val="clear" w:color="000000" w:fill="DEEAF6"/>
            <w:noWrap/>
            <w:vAlign w:val="center"/>
            <w:hideMark/>
          </w:tcPr>
          <w:p w:rsidR="000532DB" w:rsidRPr="000532DB" w:rsidRDefault="000532DB" w:rsidP="000532DB">
            <w:pPr>
              <w:spacing w:after="0" w:line="240" w:lineRule="auto"/>
              <w:jc w:val="center"/>
              <w:rPr>
                <w:rFonts w:ascii="Calibri" w:eastAsia="Times New Roman" w:hAnsi="Calibri" w:cs="Calibri"/>
                <w:b/>
                <w:bCs/>
                <w:color w:val="000000"/>
                <w:sz w:val="18"/>
                <w:szCs w:val="18"/>
                <w:lang w:eastAsia="tr-TR"/>
              </w:rPr>
            </w:pPr>
            <w:r w:rsidRPr="000532DB">
              <w:rPr>
                <w:rFonts w:ascii="Calibri" w:eastAsia="Times New Roman" w:hAnsi="Calibri" w:cs="Calibri"/>
                <w:b/>
                <w:bCs/>
                <w:color w:val="000000"/>
                <w:sz w:val="18"/>
                <w:szCs w:val="18"/>
                <w:lang w:eastAsia="tr-TR"/>
              </w:rPr>
              <w:t>MW</w:t>
            </w:r>
          </w:p>
        </w:tc>
        <w:tc>
          <w:tcPr>
            <w:tcW w:w="1440" w:type="dxa"/>
            <w:tcBorders>
              <w:top w:val="nil"/>
              <w:left w:val="nil"/>
              <w:bottom w:val="single" w:sz="8" w:space="0" w:color="BDD6EE"/>
              <w:right w:val="single" w:sz="8" w:space="0" w:color="BDD6EE"/>
            </w:tcBorders>
            <w:shd w:val="clear" w:color="000000" w:fill="DEEAF6"/>
            <w:noWrap/>
            <w:vAlign w:val="center"/>
            <w:hideMark/>
          </w:tcPr>
          <w:p w:rsidR="000532DB" w:rsidRPr="000532DB" w:rsidRDefault="000532DB" w:rsidP="000532DB">
            <w:pPr>
              <w:spacing w:after="0" w:line="240" w:lineRule="auto"/>
              <w:jc w:val="center"/>
              <w:rPr>
                <w:rFonts w:ascii="Calibri" w:eastAsia="Times New Roman" w:hAnsi="Calibri" w:cs="Calibri"/>
                <w:b/>
                <w:bCs/>
                <w:color w:val="000000"/>
                <w:sz w:val="18"/>
                <w:szCs w:val="18"/>
                <w:lang w:eastAsia="tr-TR"/>
              </w:rPr>
            </w:pPr>
            <w:r w:rsidRPr="000532DB">
              <w:rPr>
                <w:rFonts w:ascii="Calibri" w:eastAsia="Times New Roman" w:hAnsi="Calibri" w:cs="Calibri"/>
                <w:b/>
                <w:bCs/>
                <w:color w:val="000000"/>
                <w:sz w:val="18"/>
                <w:szCs w:val="18"/>
                <w:lang w:eastAsia="tr-TR"/>
              </w:rPr>
              <w:t>Lot</w:t>
            </w:r>
          </w:p>
        </w:tc>
        <w:tc>
          <w:tcPr>
            <w:tcW w:w="1082" w:type="dxa"/>
            <w:tcBorders>
              <w:top w:val="nil"/>
              <w:left w:val="nil"/>
              <w:bottom w:val="single" w:sz="8" w:space="0" w:color="BDD6EE"/>
              <w:right w:val="single" w:sz="8" w:space="0" w:color="BDD6EE"/>
            </w:tcBorders>
            <w:shd w:val="clear" w:color="000000" w:fill="DEEAF6"/>
            <w:noWrap/>
            <w:vAlign w:val="center"/>
            <w:hideMark/>
          </w:tcPr>
          <w:p w:rsidR="000532DB" w:rsidRPr="000532DB" w:rsidRDefault="000532DB" w:rsidP="000532DB">
            <w:pPr>
              <w:spacing w:after="0" w:line="240" w:lineRule="auto"/>
              <w:jc w:val="center"/>
              <w:rPr>
                <w:rFonts w:ascii="Calibri" w:eastAsia="Times New Roman" w:hAnsi="Calibri" w:cs="Calibri"/>
                <w:b/>
                <w:bCs/>
                <w:color w:val="000000"/>
                <w:sz w:val="18"/>
                <w:szCs w:val="18"/>
                <w:lang w:eastAsia="tr-TR"/>
              </w:rPr>
            </w:pPr>
            <w:r w:rsidRPr="000532DB">
              <w:rPr>
                <w:rFonts w:ascii="Calibri" w:eastAsia="Times New Roman" w:hAnsi="Calibri" w:cs="Calibri"/>
                <w:b/>
                <w:bCs/>
                <w:color w:val="000000"/>
                <w:sz w:val="18"/>
                <w:szCs w:val="18"/>
                <w:lang w:eastAsia="tr-TR"/>
              </w:rPr>
              <w:t>Saatlik Lot</w:t>
            </w:r>
          </w:p>
        </w:tc>
      </w:tr>
      <w:tr w:rsidR="008C35CF" w:rsidRPr="000532DB" w:rsidTr="00681675">
        <w:trPr>
          <w:trHeight w:val="16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Ocak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116.861</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157</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1.168.614</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1.570</w:t>
            </w:r>
          </w:p>
        </w:tc>
      </w:tr>
      <w:tr w:rsidR="008C35CF" w:rsidRPr="000532DB" w:rsidTr="00681675">
        <w:trPr>
          <w:trHeight w:val="27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Şubat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111.186</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165</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1.111.864</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1.654</w:t>
            </w:r>
          </w:p>
        </w:tc>
      </w:tr>
      <w:tr w:rsidR="008C35CF" w:rsidRPr="000532DB" w:rsidTr="00681675">
        <w:trPr>
          <w:trHeight w:val="16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Mart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101.577</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137</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1.015.773</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1.365</w:t>
            </w:r>
          </w:p>
        </w:tc>
      </w:tr>
      <w:tr w:rsidR="008C35CF" w:rsidRPr="000532DB" w:rsidTr="00681675">
        <w:trPr>
          <w:trHeight w:val="16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Nisan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82.767</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115</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827.669</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1.149</w:t>
            </w:r>
          </w:p>
        </w:tc>
      </w:tr>
      <w:tr w:rsidR="008C35CF" w:rsidRPr="000532DB" w:rsidTr="00681675">
        <w:trPr>
          <w:trHeight w:val="27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Mayıs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83.274</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112</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832.738</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1.119</w:t>
            </w:r>
          </w:p>
        </w:tc>
      </w:tr>
      <w:tr w:rsidR="008C35CF" w:rsidRPr="000532DB" w:rsidTr="00681675">
        <w:trPr>
          <w:trHeight w:val="27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Haziran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105.437</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146</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1.054.365</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1.464</w:t>
            </w:r>
          </w:p>
        </w:tc>
      </w:tr>
      <w:tr w:rsidR="008C35CF" w:rsidRPr="000532DB" w:rsidTr="00681675">
        <w:trPr>
          <w:trHeight w:val="27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Temmuz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123.327</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166</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1.233.268</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1.657</w:t>
            </w:r>
          </w:p>
        </w:tc>
      </w:tr>
      <w:tr w:rsidR="008C35CF" w:rsidRPr="000532DB" w:rsidTr="00681675">
        <w:trPr>
          <w:trHeight w:val="27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Ağustos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126.518</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170</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1.265.178</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1.700</w:t>
            </w:r>
          </w:p>
        </w:tc>
      </w:tr>
      <w:tr w:rsidR="008C35CF" w:rsidRPr="000532DB" w:rsidTr="00681675">
        <w:trPr>
          <w:trHeight w:val="16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Eylül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119.361</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166</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1.193.612</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1.657</w:t>
            </w:r>
          </w:p>
        </w:tc>
      </w:tr>
      <w:tr w:rsidR="008C35CF" w:rsidRPr="000532DB" w:rsidTr="00681675">
        <w:trPr>
          <w:trHeight w:val="16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Ekim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104.260</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140</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1.042.596</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1.401</w:t>
            </w:r>
          </w:p>
        </w:tc>
      </w:tr>
      <w:tr w:rsidR="008C35CF" w:rsidRPr="000532DB" w:rsidTr="00681675">
        <w:trPr>
          <w:trHeight w:val="27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Kasım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108.636</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151</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1.086.364</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1.508</w:t>
            </w:r>
          </w:p>
        </w:tc>
      </w:tr>
      <w:tr w:rsidR="008C35CF" w:rsidRPr="000532DB" w:rsidTr="00681675">
        <w:trPr>
          <w:trHeight w:val="271"/>
        </w:trPr>
        <w:tc>
          <w:tcPr>
            <w:tcW w:w="2689" w:type="dxa"/>
            <w:tcBorders>
              <w:top w:val="nil"/>
              <w:left w:val="single" w:sz="8" w:space="0" w:color="BDD6EE"/>
              <w:bottom w:val="single" w:sz="8" w:space="0" w:color="BDD6EE"/>
              <w:right w:val="single" w:sz="8" w:space="0" w:color="BDD6EE"/>
            </w:tcBorders>
            <w:shd w:val="clear" w:color="auto" w:fill="auto"/>
            <w:vAlign w:val="center"/>
            <w:hideMark/>
          </w:tcPr>
          <w:p w:rsidR="008C35CF" w:rsidRPr="000532DB" w:rsidRDefault="008C35CF" w:rsidP="008C35CF">
            <w:pPr>
              <w:spacing w:after="0" w:line="240" w:lineRule="auto"/>
              <w:jc w:val="center"/>
              <w:rPr>
                <w:rFonts w:ascii="Calibri" w:eastAsia="Times New Roman" w:hAnsi="Calibri" w:cs="Calibri"/>
                <w:b/>
                <w:bCs/>
                <w:i/>
                <w:iCs/>
                <w:color w:val="000000"/>
                <w:sz w:val="20"/>
                <w:szCs w:val="20"/>
                <w:lang w:eastAsia="tr-TR"/>
              </w:rPr>
            </w:pPr>
            <w:r w:rsidRPr="000532DB">
              <w:rPr>
                <w:rFonts w:ascii="Calibri" w:eastAsia="Times New Roman" w:hAnsi="Calibri" w:cs="Calibri"/>
                <w:b/>
                <w:bCs/>
                <w:i/>
                <w:iCs/>
                <w:color w:val="000000"/>
                <w:sz w:val="20"/>
                <w:szCs w:val="20"/>
                <w:lang w:eastAsia="tr-TR"/>
              </w:rPr>
              <w:t xml:space="preserve">Aralık Ayı Pozisyon Limiti </w:t>
            </w:r>
          </w:p>
        </w:tc>
        <w:tc>
          <w:tcPr>
            <w:tcW w:w="25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118.627</w:t>
            </w:r>
          </w:p>
        </w:tc>
        <w:tc>
          <w:tcPr>
            <w:tcW w:w="1251"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159</w:t>
            </w:r>
          </w:p>
        </w:tc>
        <w:tc>
          <w:tcPr>
            <w:tcW w:w="1440"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1.186.273</w:t>
            </w:r>
          </w:p>
        </w:tc>
        <w:tc>
          <w:tcPr>
            <w:tcW w:w="1082" w:type="dxa"/>
            <w:tcBorders>
              <w:top w:val="nil"/>
              <w:left w:val="nil"/>
              <w:bottom w:val="single" w:sz="8" w:space="0" w:color="BDD6EE"/>
              <w:right w:val="single" w:sz="8" w:space="0" w:color="BDD6EE"/>
            </w:tcBorders>
            <w:shd w:val="clear" w:color="auto" w:fill="auto"/>
            <w:noWrap/>
            <w:hideMark/>
          </w:tcPr>
          <w:p w:rsidR="008C35CF" w:rsidRPr="008C35CF" w:rsidRDefault="008C35CF" w:rsidP="008C35CF">
            <w:pPr>
              <w:spacing w:after="0" w:line="240" w:lineRule="auto"/>
              <w:jc w:val="center"/>
              <w:rPr>
                <w:rFonts w:ascii="Calibri" w:eastAsia="Times New Roman" w:hAnsi="Calibri" w:cs="Calibri"/>
                <w:color w:val="000000"/>
                <w:sz w:val="20"/>
                <w:szCs w:val="20"/>
                <w:lang w:eastAsia="tr-TR"/>
              </w:rPr>
            </w:pPr>
            <w:r w:rsidRPr="008C35CF">
              <w:rPr>
                <w:rFonts w:ascii="Calibri" w:eastAsia="Times New Roman" w:hAnsi="Calibri" w:cs="Calibri"/>
                <w:color w:val="000000"/>
                <w:sz w:val="20"/>
                <w:szCs w:val="20"/>
                <w:lang w:eastAsia="tr-TR"/>
              </w:rPr>
              <w:t>1.594</w:t>
            </w:r>
          </w:p>
        </w:tc>
      </w:tr>
    </w:tbl>
    <w:p w:rsidR="005E37F4" w:rsidRDefault="00313215" w:rsidP="00A47D09">
      <w:pPr>
        <w:pStyle w:val="Caption"/>
        <w:jc w:val="center"/>
        <w:rPr>
          <w:rFonts w:cstheme="minorHAnsi"/>
        </w:rPr>
      </w:pPr>
      <w:bookmarkStart w:id="24" w:name="_Toc85098568"/>
      <w:r w:rsidRPr="00313215">
        <w:rPr>
          <w:rFonts w:cstheme="minorHAnsi"/>
        </w:rPr>
        <w:t xml:space="preserve">Tablo </w:t>
      </w:r>
      <w:r w:rsidR="00B56224">
        <w:rPr>
          <w:rFonts w:cstheme="minorHAnsi"/>
        </w:rPr>
        <w:fldChar w:fldCharType="begin"/>
      </w:r>
      <w:r w:rsidR="00B56224">
        <w:rPr>
          <w:rFonts w:cstheme="minorHAnsi"/>
        </w:rPr>
        <w:instrText xml:space="preserve"> SEQ Tablo \* ARABIC </w:instrText>
      </w:r>
      <w:r w:rsidR="00B56224">
        <w:rPr>
          <w:rFonts w:cstheme="minorHAnsi"/>
        </w:rPr>
        <w:fldChar w:fldCharType="separate"/>
      </w:r>
      <w:r w:rsidR="00D12D06">
        <w:rPr>
          <w:rFonts w:cstheme="minorHAnsi"/>
          <w:noProof/>
        </w:rPr>
        <w:t>13</w:t>
      </w:r>
      <w:r w:rsidR="00B56224">
        <w:rPr>
          <w:rFonts w:cstheme="minorHAnsi"/>
        </w:rPr>
        <w:fldChar w:fldCharType="end"/>
      </w:r>
      <w:r w:rsidRPr="00313215">
        <w:rPr>
          <w:rFonts w:cstheme="minorHAnsi"/>
        </w:rPr>
        <w:t xml:space="preserve"> Örnek Katılımcı Aylık Pozisyon Limitleri</w:t>
      </w:r>
      <w:bookmarkEnd w:id="24"/>
    </w:p>
    <w:p w:rsidR="0082481D" w:rsidRPr="00313215" w:rsidRDefault="0082481D" w:rsidP="00313215">
      <w:pPr>
        <w:rPr>
          <w:rFonts w:cstheme="minorHAnsi"/>
        </w:rPr>
      </w:pPr>
    </w:p>
    <w:p w:rsidR="00313215" w:rsidRPr="00AD13B0" w:rsidRDefault="00313215" w:rsidP="00313215">
      <w:pPr>
        <w:pStyle w:val="Heading4"/>
        <w:rPr>
          <w:rFonts w:cstheme="majorHAnsi"/>
        </w:rPr>
      </w:pPr>
      <w:r w:rsidRPr="00AD13B0">
        <w:rPr>
          <w:rFonts w:cstheme="majorHAnsi"/>
        </w:rPr>
        <w:t>Örnek Senaryo 2 (Y Enerji A.Ş.)</w:t>
      </w:r>
    </w:p>
    <w:p w:rsidR="00313215" w:rsidRPr="00313215" w:rsidRDefault="00313215" w:rsidP="00AD13B0">
      <w:pPr>
        <w:ind w:firstLine="708"/>
        <w:jc w:val="both"/>
        <w:rPr>
          <w:rFonts w:cstheme="minorHAnsi"/>
        </w:rPr>
      </w:pPr>
      <w:r w:rsidRPr="00313215">
        <w:rPr>
          <w:rFonts w:cstheme="minorHAnsi"/>
        </w:rPr>
        <w:t>Daha önce piyasa işletmecisi tarafından işletilen organize piyasalarda işlem</w:t>
      </w:r>
      <w:r w:rsidR="0007311A">
        <w:rPr>
          <w:rFonts w:cstheme="minorHAnsi"/>
        </w:rPr>
        <w:t>i</w:t>
      </w:r>
      <w:r w:rsidRPr="00313215">
        <w:rPr>
          <w:rFonts w:cstheme="minorHAnsi"/>
        </w:rPr>
        <w:t xml:space="preserve"> </w:t>
      </w:r>
      <w:r w:rsidR="0007311A">
        <w:rPr>
          <w:rFonts w:cstheme="minorHAnsi"/>
        </w:rPr>
        <w:t>bulunmayan</w:t>
      </w:r>
      <w:r w:rsidR="009627E7">
        <w:rPr>
          <w:rFonts w:cstheme="minorHAnsi"/>
        </w:rPr>
        <w:t xml:space="preserve"> </w:t>
      </w:r>
      <w:r w:rsidR="0007311A">
        <w:rPr>
          <w:rFonts w:cstheme="minorHAnsi"/>
        </w:rPr>
        <w:t>(tüzel kişilik kaydı yeni yapılmış</w:t>
      </w:r>
      <w:r w:rsidR="00A47D09">
        <w:rPr>
          <w:rFonts w:cstheme="minorHAnsi"/>
        </w:rPr>
        <w:t xml:space="preserve"> veya kayıtlı olmasına rağmen hiç işlem yapmamış</w:t>
      </w:r>
      <w:r w:rsidR="0007311A">
        <w:rPr>
          <w:rFonts w:cstheme="minorHAnsi"/>
        </w:rPr>
        <w:t>)</w:t>
      </w:r>
      <w:r w:rsidRPr="00313215">
        <w:rPr>
          <w:rFonts w:cstheme="minorHAnsi"/>
        </w:rPr>
        <w:t>, tedarik lisansı sahibi Y Enerji A.Ş veya kurulu</w:t>
      </w:r>
      <w:r w:rsidR="00836B7C">
        <w:rPr>
          <w:rFonts w:cstheme="minorHAnsi"/>
        </w:rPr>
        <w:t xml:space="preserve"> gücü</w:t>
      </w:r>
      <w:r w:rsidRPr="00313215">
        <w:rPr>
          <w:rFonts w:cstheme="minorHAnsi"/>
        </w:rPr>
        <w:t xml:space="preserve"> 20 MW olan Üretim lisansı sahibi Y Enerji A.Ş. için piyasa limitleri;</w:t>
      </w:r>
    </w:p>
    <w:p w:rsidR="00313215" w:rsidRPr="00313215" w:rsidRDefault="00313215" w:rsidP="00313215">
      <w:pPr>
        <w:jc w:val="both"/>
        <w:rPr>
          <w:rFonts w:cstheme="minorHAnsi"/>
        </w:rPr>
      </w:pPr>
      <w:r w:rsidRPr="00313215">
        <w:rPr>
          <w:rFonts w:cstheme="minorHAnsi"/>
        </w:rPr>
        <w:t>Tedarik lisansı sahibi piyasa katılımcısı için piyasa limiti saatlik 50 Lot (5 MWh)</w:t>
      </w:r>
    </w:p>
    <w:p w:rsidR="00313215" w:rsidRPr="00313215" w:rsidRDefault="00313215" w:rsidP="00313215">
      <w:pPr>
        <w:jc w:val="both"/>
        <w:rPr>
          <w:rFonts w:cstheme="minorHAnsi"/>
        </w:rPr>
      </w:pPr>
      <w:r w:rsidRPr="00313215">
        <w:rPr>
          <w:rFonts w:cstheme="minorHAnsi"/>
        </w:rPr>
        <w:t xml:space="preserve">Üretim lisansı sahibi piyasa katılımcısı için </w:t>
      </w:r>
      <w:r w:rsidR="0007311A">
        <w:rPr>
          <w:rFonts w:cstheme="minorHAnsi"/>
        </w:rPr>
        <w:t>piyasa limiti saatlik 20/4=5 MW</w:t>
      </w:r>
    </w:p>
    <w:p w:rsidR="00313215" w:rsidRDefault="00313215" w:rsidP="00313215">
      <w:pPr>
        <w:jc w:val="both"/>
        <w:rPr>
          <w:rFonts w:cstheme="minorHAnsi"/>
        </w:rPr>
      </w:pPr>
      <w:r w:rsidRPr="00313215">
        <w:rPr>
          <w:rFonts w:cstheme="minorHAnsi"/>
        </w:rPr>
        <w:t xml:space="preserve">Y Enerji A.Ş. ‘nin piyasa pozisyon limitleri </w:t>
      </w:r>
      <w:r w:rsidR="000532DB">
        <w:rPr>
          <w:rFonts w:cstheme="minorHAnsi"/>
        </w:rPr>
        <w:t xml:space="preserve">için öncelikle </w:t>
      </w:r>
      <w:r w:rsidR="004E2DBC">
        <w:rPr>
          <w:rFonts w:cstheme="minorHAnsi"/>
        </w:rPr>
        <w:t xml:space="preserve">yıllık bazda </w:t>
      </w:r>
      <w:r w:rsidR="000532DB">
        <w:rPr>
          <w:rFonts w:cstheme="minorHAnsi"/>
        </w:rPr>
        <w:t>toplam pozisyon limitleri hesaplanır.</w:t>
      </w:r>
      <w:r w:rsidR="004E2DBC">
        <w:rPr>
          <w:rFonts w:cstheme="minorHAnsi"/>
        </w:rPr>
        <w:t xml:space="preserve"> 365*24*5=43.800 MWh olarak hesaplanır</w:t>
      </w:r>
      <w:r w:rsidR="00A47D09">
        <w:rPr>
          <w:rFonts w:cstheme="minorHAnsi"/>
        </w:rPr>
        <w:t>.</w:t>
      </w:r>
      <w:r w:rsidR="004E2DBC">
        <w:rPr>
          <w:rFonts w:cstheme="minorHAnsi"/>
        </w:rPr>
        <w:t xml:space="preserve"> </w:t>
      </w:r>
      <w:r w:rsidR="00A47D09">
        <w:rPr>
          <w:rFonts w:cstheme="minorHAnsi"/>
        </w:rPr>
        <w:t>Hesaplanan bu değer toplam piyasa pozisyon limitlerine bölünerek ilgili katılımcının piyasadaki oranı bulunup piyasa pozisyon limitleri ile çarpılarak teslimat dönemlerine ait limitleri hesaplanır.</w:t>
      </w:r>
    </w:p>
    <w:tbl>
      <w:tblPr>
        <w:tblW w:w="9214" w:type="dxa"/>
        <w:tblInd w:w="-10" w:type="dxa"/>
        <w:tblCellMar>
          <w:left w:w="70" w:type="dxa"/>
          <w:right w:w="70" w:type="dxa"/>
        </w:tblCellMar>
        <w:tblLook w:val="04A0" w:firstRow="1" w:lastRow="0" w:firstColumn="1" w:lastColumn="0" w:noHBand="0" w:noVBand="1"/>
      </w:tblPr>
      <w:tblGrid>
        <w:gridCol w:w="4395"/>
        <w:gridCol w:w="4819"/>
      </w:tblGrid>
      <w:tr w:rsidR="00D4236F" w:rsidRPr="00D4236F" w:rsidTr="00D4236F">
        <w:trPr>
          <w:trHeight w:val="188"/>
        </w:trPr>
        <w:tc>
          <w:tcPr>
            <w:tcW w:w="9214" w:type="dxa"/>
            <w:gridSpan w:val="2"/>
            <w:tcBorders>
              <w:top w:val="single" w:sz="8" w:space="0" w:color="BDD6EE"/>
              <w:left w:val="single" w:sz="8" w:space="0" w:color="BDD6EE"/>
              <w:bottom w:val="single" w:sz="12" w:space="0" w:color="9CC2E5"/>
              <w:right w:val="single" w:sz="8" w:space="0" w:color="BDD6EE"/>
            </w:tcBorders>
            <w:shd w:val="clear" w:color="000000" w:fill="DEEAF6"/>
            <w:noWrap/>
            <w:vAlign w:val="center"/>
            <w:hideMark/>
          </w:tcPr>
          <w:p w:rsidR="00D4236F" w:rsidRPr="00D4236F" w:rsidRDefault="00D4236F" w:rsidP="00D4236F">
            <w:pPr>
              <w:spacing w:after="0" w:line="240" w:lineRule="auto"/>
              <w:jc w:val="center"/>
              <w:rPr>
                <w:rFonts w:ascii="Calibri" w:eastAsia="Times New Roman" w:hAnsi="Calibri" w:cs="Calibri"/>
                <w:b/>
                <w:bCs/>
                <w:i/>
                <w:iCs/>
                <w:color w:val="000000"/>
                <w:sz w:val="20"/>
                <w:szCs w:val="20"/>
                <w:lang w:eastAsia="tr-TR"/>
              </w:rPr>
            </w:pPr>
            <w:r w:rsidRPr="00D4236F">
              <w:rPr>
                <w:rFonts w:ascii="Calibri" w:eastAsia="Times New Roman" w:hAnsi="Calibri" w:cs="Calibri"/>
                <w:b/>
                <w:bCs/>
                <w:i/>
                <w:iCs/>
                <w:color w:val="000000"/>
                <w:sz w:val="20"/>
                <w:szCs w:val="20"/>
                <w:lang w:eastAsia="tr-TR"/>
              </w:rPr>
              <w:t xml:space="preserve">Y Enerji A.Ş. </w:t>
            </w:r>
            <w:r>
              <w:rPr>
                <w:rFonts w:ascii="Calibri" w:eastAsia="Times New Roman" w:hAnsi="Calibri" w:cs="Calibri"/>
                <w:b/>
                <w:bCs/>
                <w:i/>
                <w:iCs/>
                <w:color w:val="000000"/>
                <w:sz w:val="20"/>
                <w:szCs w:val="20"/>
                <w:lang w:eastAsia="tr-TR"/>
              </w:rPr>
              <w:t>Yıl Kontratı</w:t>
            </w:r>
            <w:r w:rsidRPr="00D4236F">
              <w:rPr>
                <w:rFonts w:ascii="Calibri" w:eastAsia="Times New Roman" w:hAnsi="Calibri" w:cs="Calibri"/>
                <w:b/>
                <w:bCs/>
                <w:i/>
                <w:iCs/>
                <w:color w:val="000000"/>
                <w:sz w:val="20"/>
                <w:szCs w:val="20"/>
                <w:lang w:eastAsia="tr-TR"/>
              </w:rPr>
              <w:t xml:space="preserve"> İçin Pozisyon Limitleri </w:t>
            </w:r>
          </w:p>
        </w:tc>
      </w:tr>
      <w:tr w:rsidR="00D4236F" w:rsidRPr="00D4236F" w:rsidTr="00D4236F">
        <w:trPr>
          <w:trHeight w:val="447"/>
        </w:trPr>
        <w:tc>
          <w:tcPr>
            <w:tcW w:w="4395" w:type="dxa"/>
            <w:tcBorders>
              <w:top w:val="nil"/>
              <w:left w:val="single" w:sz="8" w:space="0" w:color="BDD6EE"/>
              <w:bottom w:val="single" w:sz="8" w:space="0" w:color="BDD6EE"/>
              <w:right w:val="single" w:sz="8" w:space="0" w:color="BDD6EE"/>
            </w:tcBorders>
            <w:shd w:val="clear" w:color="000000" w:fill="DEEAF6"/>
            <w:vAlign w:val="center"/>
            <w:hideMark/>
          </w:tcPr>
          <w:p w:rsidR="00D4236F" w:rsidRPr="00D4236F" w:rsidRDefault="00D4236F" w:rsidP="00D4236F">
            <w:pPr>
              <w:spacing w:after="0" w:line="240" w:lineRule="auto"/>
              <w:jc w:val="center"/>
              <w:rPr>
                <w:rFonts w:ascii="Calibri" w:eastAsia="Times New Roman" w:hAnsi="Calibri" w:cs="Calibri"/>
                <w:b/>
                <w:bCs/>
                <w:i/>
                <w:iCs/>
                <w:color w:val="000000"/>
                <w:sz w:val="20"/>
                <w:szCs w:val="20"/>
                <w:lang w:eastAsia="tr-TR"/>
              </w:rPr>
            </w:pPr>
            <w:r w:rsidRPr="00D4236F">
              <w:rPr>
                <w:rFonts w:ascii="Calibri" w:eastAsia="Times New Roman" w:hAnsi="Calibri" w:cs="Calibri"/>
                <w:b/>
                <w:bCs/>
                <w:i/>
                <w:iCs/>
                <w:color w:val="000000"/>
                <w:sz w:val="20"/>
                <w:szCs w:val="20"/>
                <w:lang w:eastAsia="tr-TR"/>
              </w:rPr>
              <w:t>2021</w:t>
            </w:r>
          </w:p>
        </w:tc>
        <w:tc>
          <w:tcPr>
            <w:tcW w:w="4819" w:type="dxa"/>
            <w:tcBorders>
              <w:top w:val="nil"/>
              <w:left w:val="nil"/>
              <w:bottom w:val="single" w:sz="8" w:space="0" w:color="BDD6EE"/>
              <w:right w:val="single" w:sz="8" w:space="0" w:color="BDD6EE"/>
            </w:tcBorders>
            <w:shd w:val="clear" w:color="000000" w:fill="DEEAF6"/>
            <w:vAlign w:val="center"/>
            <w:hideMark/>
          </w:tcPr>
          <w:p w:rsidR="00D4236F" w:rsidRPr="00D4236F" w:rsidRDefault="00BB44BA" w:rsidP="00D4236F">
            <w:pPr>
              <w:spacing w:after="0" w:line="240" w:lineRule="auto"/>
              <w:jc w:val="center"/>
              <w:rPr>
                <w:rFonts w:ascii="Calibri" w:eastAsia="Times New Roman" w:hAnsi="Calibri" w:cs="Calibri"/>
                <w:b/>
                <w:bCs/>
                <w:i/>
                <w:iCs/>
                <w:color w:val="000000"/>
                <w:sz w:val="20"/>
                <w:szCs w:val="20"/>
                <w:lang w:eastAsia="tr-TR"/>
              </w:rPr>
            </w:pPr>
            <w:r>
              <w:rPr>
                <w:rFonts w:ascii="Calibri" w:eastAsia="Times New Roman" w:hAnsi="Calibri" w:cs="Calibri"/>
                <w:b/>
                <w:bCs/>
                <w:i/>
                <w:iCs/>
                <w:color w:val="000000"/>
                <w:sz w:val="20"/>
                <w:szCs w:val="20"/>
                <w:lang w:eastAsia="tr-TR"/>
              </w:rPr>
              <w:t xml:space="preserve">Yıl Kontratı </w:t>
            </w:r>
            <w:r w:rsidR="00D4236F" w:rsidRPr="00D4236F">
              <w:rPr>
                <w:rFonts w:ascii="Calibri" w:eastAsia="Times New Roman" w:hAnsi="Calibri" w:cs="Calibri"/>
                <w:b/>
                <w:bCs/>
                <w:i/>
                <w:iCs/>
                <w:color w:val="000000"/>
                <w:sz w:val="20"/>
                <w:szCs w:val="20"/>
                <w:lang w:eastAsia="tr-TR"/>
              </w:rPr>
              <w:t xml:space="preserve">Pozisyon Limiti  </w:t>
            </w:r>
          </w:p>
        </w:tc>
      </w:tr>
      <w:tr w:rsidR="00D4236F" w:rsidRPr="00D4236F" w:rsidTr="00D4236F">
        <w:trPr>
          <w:trHeight w:val="300"/>
        </w:trPr>
        <w:tc>
          <w:tcPr>
            <w:tcW w:w="4395" w:type="dxa"/>
            <w:tcBorders>
              <w:top w:val="nil"/>
              <w:left w:val="single" w:sz="8" w:space="0" w:color="BDD6EE"/>
              <w:bottom w:val="single" w:sz="8" w:space="0" w:color="BDD6EE"/>
              <w:right w:val="single" w:sz="8" w:space="0" w:color="BDD6EE"/>
            </w:tcBorders>
            <w:shd w:val="clear" w:color="auto" w:fill="auto"/>
            <w:noWrap/>
            <w:vAlign w:val="center"/>
            <w:hideMark/>
          </w:tcPr>
          <w:p w:rsidR="00D4236F" w:rsidRPr="00D4236F" w:rsidRDefault="00D4236F" w:rsidP="00D4236F">
            <w:pPr>
              <w:spacing w:after="0" w:line="240" w:lineRule="auto"/>
              <w:jc w:val="center"/>
              <w:rPr>
                <w:rFonts w:ascii="Calibri" w:eastAsia="Times New Roman" w:hAnsi="Calibri" w:cs="Calibri"/>
                <w:b/>
                <w:bCs/>
                <w:color w:val="000000"/>
                <w:sz w:val="20"/>
                <w:szCs w:val="20"/>
                <w:lang w:eastAsia="tr-TR"/>
              </w:rPr>
            </w:pPr>
            <w:r w:rsidRPr="00D4236F">
              <w:rPr>
                <w:rFonts w:ascii="Calibri" w:eastAsia="Times New Roman" w:hAnsi="Calibri" w:cs="Calibri"/>
                <w:b/>
                <w:bCs/>
                <w:color w:val="000000"/>
                <w:sz w:val="20"/>
                <w:szCs w:val="20"/>
                <w:lang w:eastAsia="tr-TR"/>
              </w:rPr>
              <w:t>MWh</w:t>
            </w:r>
          </w:p>
        </w:tc>
        <w:tc>
          <w:tcPr>
            <w:tcW w:w="4819" w:type="dxa"/>
            <w:tcBorders>
              <w:top w:val="nil"/>
              <w:left w:val="nil"/>
              <w:bottom w:val="single" w:sz="8" w:space="0" w:color="BDD6EE"/>
              <w:right w:val="single" w:sz="8" w:space="0" w:color="BDD6EE"/>
            </w:tcBorders>
            <w:shd w:val="clear" w:color="auto" w:fill="auto"/>
            <w:noWrap/>
            <w:vAlign w:val="center"/>
            <w:hideMark/>
          </w:tcPr>
          <w:p w:rsidR="00D4236F" w:rsidRPr="00D4236F" w:rsidRDefault="00D4236F" w:rsidP="00D4236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4.350</w:t>
            </w:r>
          </w:p>
        </w:tc>
      </w:tr>
      <w:tr w:rsidR="00D4236F" w:rsidRPr="00D4236F" w:rsidTr="00D4236F">
        <w:trPr>
          <w:trHeight w:val="179"/>
        </w:trPr>
        <w:tc>
          <w:tcPr>
            <w:tcW w:w="4395" w:type="dxa"/>
            <w:tcBorders>
              <w:top w:val="nil"/>
              <w:left w:val="single" w:sz="8" w:space="0" w:color="BDD6EE"/>
              <w:bottom w:val="single" w:sz="8" w:space="0" w:color="BDD6EE"/>
              <w:right w:val="single" w:sz="8" w:space="0" w:color="BDD6EE"/>
            </w:tcBorders>
            <w:shd w:val="clear" w:color="auto" w:fill="auto"/>
            <w:noWrap/>
            <w:vAlign w:val="center"/>
            <w:hideMark/>
          </w:tcPr>
          <w:p w:rsidR="00D4236F" w:rsidRPr="00D4236F" w:rsidRDefault="00D4236F" w:rsidP="00D4236F">
            <w:pPr>
              <w:spacing w:after="0" w:line="240" w:lineRule="auto"/>
              <w:jc w:val="center"/>
              <w:rPr>
                <w:rFonts w:ascii="Calibri" w:eastAsia="Times New Roman" w:hAnsi="Calibri" w:cs="Calibri"/>
                <w:b/>
                <w:bCs/>
                <w:color w:val="000000"/>
                <w:sz w:val="20"/>
                <w:szCs w:val="20"/>
                <w:lang w:eastAsia="tr-TR"/>
              </w:rPr>
            </w:pPr>
            <w:r w:rsidRPr="00D4236F">
              <w:rPr>
                <w:rFonts w:ascii="Calibri" w:eastAsia="Times New Roman" w:hAnsi="Calibri" w:cs="Calibri"/>
                <w:b/>
                <w:bCs/>
                <w:color w:val="000000"/>
                <w:sz w:val="20"/>
                <w:szCs w:val="20"/>
                <w:lang w:eastAsia="tr-TR"/>
              </w:rPr>
              <w:t>MW</w:t>
            </w:r>
          </w:p>
        </w:tc>
        <w:tc>
          <w:tcPr>
            <w:tcW w:w="4819" w:type="dxa"/>
            <w:tcBorders>
              <w:top w:val="nil"/>
              <w:left w:val="nil"/>
              <w:bottom w:val="single" w:sz="8" w:space="0" w:color="BDD6EE"/>
              <w:right w:val="single" w:sz="8" w:space="0" w:color="BDD6EE"/>
            </w:tcBorders>
            <w:shd w:val="clear" w:color="auto" w:fill="auto"/>
            <w:noWrap/>
            <w:vAlign w:val="center"/>
            <w:hideMark/>
          </w:tcPr>
          <w:p w:rsidR="00D4236F" w:rsidRPr="00D4236F" w:rsidRDefault="00D4236F" w:rsidP="00D4236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0,4</w:t>
            </w:r>
          </w:p>
        </w:tc>
      </w:tr>
      <w:tr w:rsidR="00D4236F" w:rsidRPr="00D4236F" w:rsidTr="00D4236F">
        <w:trPr>
          <w:trHeight w:val="179"/>
        </w:trPr>
        <w:tc>
          <w:tcPr>
            <w:tcW w:w="4395" w:type="dxa"/>
            <w:tcBorders>
              <w:top w:val="nil"/>
              <w:left w:val="single" w:sz="8" w:space="0" w:color="BDD6EE"/>
              <w:bottom w:val="single" w:sz="8" w:space="0" w:color="BDD6EE"/>
              <w:right w:val="single" w:sz="8" w:space="0" w:color="BDD6EE"/>
            </w:tcBorders>
            <w:shd w:val="clear" w:color="auto" w:fill="auto"/>
            <w:noWrap/>
            <w:vAlign w:val="center"/>
            <w:hideMark/>
          </w:tcPr>
          <w:p w:rsidR="00D4236F" w:rsidRPr="00D4236F" w:rsidRDefault="00D4236F" w:rsidP="00D4236F">
            <w:pPr>
              <w:spacing w:after="0" w:line="240" w:lineRule="auto"/>
              <w:jc w:val="center"/>
              <w:rPr>
                <w:rFonts w:ascii="Calibri" w:eastAsia="Times New Roman" w:hAnsi="Calibri" w:cs="Calibri"/>
                <w:b/>
                <w:bCs/>
                <w:color w:val="000000"/>
                <w:sz w:val="20"/>
                <w:szCs w:val="20"/>
                <w:lang w:eastAsia="tr-TR"/>
              </w:rPr>
            </w:pPr>
            <w:r w:rsidRPr="00D4236F">
              <w:rPr>
                <w:rFonts w:ascii="Calibri" w:eastAsia="Times New Roman" w:hAnsi="Calibri" w:cs="Calibri"/>
                <w:b/>
                <w:bCs/>
                <w:color w:val="000000"/>
                <w:sz w:val="20"/>
                <w:szCs w:val="20"/>
                <w:lang w:eastAsia="tr-TR"/>
              </w:rPr>
              <w:t>Lot</w:t>
            </w:r>
          </w:p>
        </w:tc>
        <w:tc>
          <w:tcPr>
            <w:tcW w:w="4819" w:type="dxa"/>
            <w:tcBorders>
              <w:top w:val="nil"/>
              <w:left w:val="nil"/>
              <w:bottom w:val="single" w:sz="8" w:space="0" w:color="BDD6EE"/>
              <w:right w:val="single" w:sz="8" w:space="0" w:color="BDD6EE"/>
            </w:tcBorders>
            <w:shd w:val="clear" w:color="auto" w:fill="auto"/>
            <w:noWrap/>
            <w:vAlign w:val="center"/>
            <w:hideMark/>
          </w:tcPr>
          <w:p w:rsidR="00D4236F" w:rsidRPr="00D4236F" w:rsidRDefault="00D4236F" w:rsidP="00D4236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43.500</w:t>
            </w:r>
          </w:p>
        </w:tc>
      </w:tr>
      <w:tr w:rsidR="00D4236F" w:rsidRPr="00D4236F" w:rsidTr="00D4236F">
        <w:trPr>
          <w:trHeight w:val="300"/>
        </w:trPr>
        <w:tc>
          <w:tcPr>
            <w:tcW w:w="4395" w:type="dxa"/>
            <w:tcBorders>
              <w:top w:val="nil"/>
              <w:left w:val="single" w:sz="8" w:space="0" w:color="BDD6EE"/>
              <w:bottom w:val="single" w:sz="8" w:space="0" w:color="BDD6EE"/>
              <w:right w:val="single" w:sz="8" w:space="0" w:color="BDD6EE"/>
            </w:tcBorders>
            <w:shd w:val="clear" w:color="auto" w:fill="auto"/>
            <w:noWrap/>
            <w:vAlign w:val="center"/>
            <w:hideMark/>
          </w:tcPr>
          <w:p w:rsidR="00D4236F" w:rsidRPr="00D4236F" w:rsidRDefault="00D4236F" w:rsidP="00D4236F">
            <w:pPr>
              <w:spacing w:after="0" w:line="240" w:lineRule="auto"/>
              <w:jc w:val="center"/>
              <w:rPr>
                <w:rFonts w:ascii="Calibri" w:eastAsia="Times New Roman" w:hAnsi="Calibri" w:cs="Calibri"/>
                <w:b/>
                <w:bCs/>
                <w:color w:val="000000"/>
                <w:sz w:val="20"/>
                <w:szCs w:val="20"/>
                <w:lang w:eastAsia="tr-TR"/>
              </w:rPr>
            </w:pPr>
            <w:r w:rsidRPr="00D4236F">
              <w:rPr>
                <w:rFonts w:ascii="Calibri" w:eastAsia="Times New Roman" w:hAnsi="Calibri" w:cs="Calibri"/>
                <w:b/>
                <w:bCs/>
                <w:color w:val="000000"/>
                <w:sz w:val="20"/>
                <w:szCs w:val="20"/>
                <w:lang w:eastAsia="tr-TR"/>
              </w:rPr>
              <w:t>Saatlik Lot</w:t>
            </w:r>
          </w:p>
        </w:tc>
        <w:tc>
          <w:tcPr>
            <w:tcW w:w="4819" w:type="dxa"/>
            <w:tcBorders>
              <w:top w:val="nil"/>
              <w:left w:val="nil"/>
              <w:bottom w:val="single" w:sz="8" w:space="0" w:color="BDD6EE"/>
              <w:right w:val="single" w:sz="8" w:space="0" w:color="BDD6EE"/>
            </w:tcBorders>
            <w:shd w:val="clear" w:color="auto" w:fill="auto"/>
            <w:noWrap/>
            <w:vAlign w:val="center"/>
            <w:hideMark/>
          </w:tcPr>
          <w:p w:rsidR="00D4236F" w:rsidRPr="00D4236F" w:rsidRDefault="00D4236F" w:rsidP="00D4236F">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4</w:t>
            </w:r>
          </w:p>
        </w:tc>
      </w:tr>
    </w:tbl>
    <w:p w:rsidR="0082481D" w:rsidRPr="0082481D" w:rsidRDefault="00D4236F" w:rsidP="0082481D">
      <w:pPr>
        <w:pStyle w:val="Caption"/>
        <w:jc w:val="center"/>
        <w:rPr>
          <w:rFonts w:cstheme="minorHAnsi"/>
        </w:rPr>
      </w:pPr>
      <w:bookmarkStart w:id="25" w:name="_Toc85098569"/>
      <w:r w:rsidRPr="00D4236F">
        <w:rPr>
          <w:rFonts w:cstheme="minorHAnsi"/>
        </w:rPr>
        <w:t xml:space="preserve">Tablo </w:t>
      </w:r>
      <w:r w:rsidRPr="00D4236F">
        <w:rPr>
          <w:rFonts w:cstheme="minorHAnsi"/>
        </w:rPr>
        <w:fldChar w:fldCharType="begin"/>
      </w:r>
      <w:r w:rsidRPr="00D4236F">
        <w:rPr>
          <w:rFonts w:cstheme="minorHAnsi"/>
        </w:rPr>
        <w:instrText xml:space="preserve"> SEQ Tablo \* ARABIC </w:instrText>
      </w:r>
      <w:r w:rsidRPr="00D4236F">
        <w:rPr>
          <w:rFonts w:cstheme="minorHAnsi"/>
        </w:rPr>
        <w:fldChar w:fldCharType="separate"/>
      </w:r>
      <w:r w:rsidR="00D12D06">
        <w:rPr>
          <w:rFonts w:cstheme="minorHAnsi"/>
          <w:noProof/>
        </w:rPr>
        <w:t>14</w:t>
      </w:r>
      <w:r w:rsidRPr="00D4236F">
        <w:rPr>
          <w:rFonts w:cstheme="minorHAnsi"/>
        </w:rPr>
        <w:fldChar w:fldCharType="end"/>
      </w:r>
      <w:r w:rsidRPr="00D4236F">
        <w:rPr>
          <w:rFonts w:cstheme="minorHAnsi"/>
        </w:rPr>
        <w:t xml:space="preserve"> </w:t>
      </w:r>
      <w:r w:rsidRPr="00313215">
        <w:rPr>
          <w:rFonts w:cstheme="minorHAnsi"/>
        </w:rPr>
        <w:t xml:space="preserve">Örnek Katılımcı </w:t>
      </w:r>
      <w:r>
        <w:rPr>
          <w:rFonts w:cstheme="minorHAnsi"/>
        </w:rPr>
        <w:t>Yıllık</w:t>
      </w:r>
      <w:r w:rsidRPr="00313215">
        <w:rPr>
          <w:rFonts w:cstheme="minorHAnsi"/>
        </w:rPr>
        <w:t xml:space="preserve"> Pozisyon Limitleri</w:t>
      </w:r>
      <w:bookmarkEnd w:id="25"/>
    </w:p>
    <w:tbl>
      <w:tblPr>
        <w:tblW w:w="9218" w:type="dxa"/>
        <w:tblInd w:w="-10" w:type="dxa"/>
        <w:tblCellMar>
          <w:left w:w="70" w:type="dxa"/>
          <w:right w:w="70" w:type="dxa"/>
        </w:tblCellMar>
        <w:tblLook w:val="04A0" w:firstRow="1" w:lastRow="0" w:firstColumn="1" w:lastColumn="0" w:noHBand="0" w:noVBand="1"/>
      </w:tblPr>
      <w:tblGrid>
        <w:gridCol w:w="1836"/>
        <w:gridCol w:w="1978"/>
        <w:gridCol w:w="1695"/>
        <w:gridCol w:w="1835"/>
        <w:gridCol w:w="1874"/>
      </w:tblGrid>
      <w:tr w:rsidR="004E2DBC" w:rsidRPr="004E2DBC" w:rsidTr="004E2DBC">
        <w:trPr>
          <w:trHeight w:val="188"/>
        </w:trPr>
        <w:tc>
          <w:tcPr>
            <w:tcW w:w="9218" w:type="dxa"/>
            <w:gridSpan w:val="5"/>
            <w:tcBorders>
              <w:top w:val="single" w:sz="8" w:space="0" w:color="BDD6EE"/>
              <w:left w:val="single" w:sz="8" w:space="0" w:color="BDD6EE"/>
              <w:bottom w:val="single" w:sz="12" w:space="0" w:color="9CC2E5"/>
              <w:right w:val="single" w:sz="8" w:space="0" w:color="BDD6EE"/>
            </w:tcBorders>
            <w:shd w:val="clear" w:color="000000" w:fill="DEEAF6"/>
            <w:noWrap/>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Y Enerji A.Ş. Çeyreklik Kontratlar İçin Pozisyon Limitleri </w:t>
            </w:r>
          </w:p>
        </w:tc>
      </w:tr>
      <w:tr w:rsidR="004E2DBC" w:rsidRPr="004E2DBC" w:rsidTr="004E2DBC">
        <w:trPr>
          <w:trHeight w:val="447"/>
        </w:trPr>
        <w:tc>
          <w:tcPr>
            <w:tcW w:w="1836" w:type="dxa"/>
            <w:tcBorders>
              <w:top w:val="nil"/>
              <w:left w:val="single" w:sz="8" w:space="0" w:color="BDD6EE"/>
              <w:bottom w:val="single" w:sz="8" w:space="0" w:color="BDD6EE"/>
              <w:right w:val="single" w:sz="8" w:space="0" w:color="BDD6EE"/>
            </w:tcBorders>
            <w:shd w:val="clear" w:color="000000" w:fill="DEEAF6"/>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2021</w:t>
            </w:r>
          </w:p>
        </w:tc>
        <w:tc>
          <w:tcPr>
            <w:tcW w:w="1978" w:type="dxa"/>
            <w:tcBorders>
              <w:top w:val="nil"/>
              <w:left w:val="nil"/>
              <w:bottom w:val="single" w:sz="8" w:space="0" w:color="BDD6EE"/>
              <w:right w:val="single" w:sz="8" w:space="0" w:color="BDD6EE"/>
            </w:tcBorders>
            <w:shd w:val="clear" w:color="000000" w:fill="DEEAF6"/>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1. Çeyrek Pozisyon Limiti  </w:t>
            </w:r>
          </w:p>
        </w:tc>
        <w:tc>
          <w:tcPr>
            <w:tcW w:w="1695" w:type="dxa"/>
            <w:tcBorders>
              <w:top w:val="nil"/>
              <w:left w:val="nil"/>
              <w:bottom w:val="single" w:sz="8" w:space="0" w:color="BDD6EE"/>
              <w:right w:val="single" w:sz="8" w:space="0" w:color="BDD6EE"/>
            </w:tcBorders>
            <w:shd w:val="clear" w:color="000000" w:fill="DEEAF6"/>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2. Çeyrek Pozisyon Limiti </w:t>
            </w:r>
          </w:p>
        </w:tc>
        <w:tc>
          <w:tcPr>
            <w:tcW w:w="1835" w:type="dxa"/>
            <w:tcBorders>
              <w:top w:val="nil"/>
              <w:left w:val="nil"/>
              <w:bottom w:val="single" w:sz="8" w:space="0" w:color="BDD6EE"/>
              <w:right w:val="single" w:sz="8" w:space="0" w:color="BDD6EE"/>
            </w:tcBorders>
            <w:shd w:val="clear" w:color="000000" w:fill="DEEAF6"/>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3. Çeyrek Pozisyon Limiti </w:t>
            </w:r>
          </w:p>
        </w:tc>
        <w:tc>
          <w:tcPr>
            <w:tcW w:w="1871" w:type="dxa"/>
            <w:tcBorders>
              <w:top w:val="nil"/>
              <w:left w:val="nil"/>
              <w:bottom w:val="single" w:sz="8" w:space="0" w:color="BDD6EE"/>
              <w:right w:val="single" w:sz="8" w:space="0" w:color="BDD6EE"/>
            </w:tcBorders>
            <w:shd w:val="clear" w:color="000000" w:fill="DEEAF6"/>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4. Çeyrek Pozisyon Limiti </w:t>
            </w:r>
          </w:p>
        </w:tc>
      </w:tr>
      <w:tr w:rsidR="004E2DBC" w:rsidRPr="004E2DBC" w:rsidTr="004E2DBC">
        <w:trPr>
          <w:trHeight w:val="300"/>
        </w:trPr>
        <w:tc>
          <w:tcPr>
            <w:tcW w:w="1836" w:type="dxa"/>
            <w:tcBorders>
              <w:top w:val="nil"/>
              <w:left w:val="single" w:sz="8" w:space="0" w:color="BDD6EE"/>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b/>
                <w:bCs/>
                <w:color w:val="000000"/>
                <w:sz w:val="20"/>
                <w:szCs w:val="20"/>
                <w:lang w:eastAsia="tr-TR"/>
              </w:rPr>
            </w:pPr>
            <w:r w:rsidRPr="004E2DBC">
              <w:rPr>
                <w:rFonts w:ascii="Calibri" w:eastAsia="Times New Roman" w:hAnsi="Calibri" w:cs="Calibri"/>
                <w:b/>
                <w:bCs/>
                <w:color w:val="000000"/>
                <w:sz w:val="20"/>
                <w:szCs w:val="20"/>
                <w:lang w:eastAsia="tr-TR"/>
              </w:rPr>
              <w:t>MWh</w:t>
            </w:r>
          </w:p>
        </w:tc>
        <w:tc>
          <w:tcPr>
            <w:tcW w:w="1978"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3.297</w:t>
            </w:r>
          </w:p>
        </w:tc>
        <w:tc>
          <w:tcPr>
            <w:tcW w:w="1695"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2.802</w:t>
            </w:r>
          </w:p>
        </w:tc>
        <w:tc>
          <w:tcPr>
            <w:tcW w:w="1835"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3.648</w:t>
            </w:r>
          </w:p>
        </w:tc>
        <w:tc>
          <w:tcPr>
            <w:tcW w:w="1871"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3.324</w:t>
            </w:r>
          </w:p>
        </w:tc>
      </w:tr>
      <w:tr w:rsidR="004E2DBC" w:rsidRPr="004E2DBC" w:rsidTr="004E2DBC">
        <w:trPr>
          <w:trHeight w:val="179"/>
        </w:trPr>
        <w:tc>
          <w:tcPr>
            <w:tcW w:w="1836" w:type="dxa"/>
            <w:tcBorders>
              <w:top w:val="nil"/>
              <w:left w:val="single" w:sz="8" w:space="0" w:color="BDD6EE"/>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b/>
                <w:bCs/>
                <w:color w:val="000000"/>
                <w:sz w:val="20"/>
                <w:szCs w:val="20"/>
                <w:lang w:eastAsia="tr-TR"/>
              </w:rPr>
            </w:pPr>
            <w:r w:rsidRPr="004E2DBC">
              <w:rPr>
                <w:rFonts w:ascii="Calibri" w:eastAsia="Times New Roman" w:hAnsi="Calibri" w:cs="Calibri"/>
                <w:b/>
                <w:bCs/>
                <w:color w:val="000000"/>
                <w:sz w:val="20"/>
                <w:szCs w:val="20"/>
                <w:lang w:eastAsia="tr-TR"/>
              </w:rPr>
              <w:t>MW</w:t>
            </w:r>
          </w:p>
        </w:tc>
        <w:tc>
          <w:tcPr>
            <w:tcW w:w="197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2</w:t>
            </w:r>
          </w:p>
        </w:tc>
        <w:tc>
          <w:tcPr>
            <w:tcW w:w="1695"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1835"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2</w:t>
            </w:r>
          </w:p>
        </w:tc>
        <w:tc>
          <w:tcPr>
            <w:tcW w:w="1871"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2</w:t>
            </w:r>
          </w:p>
        </w:tc>
      </w:tr>
      <w:tr w:rsidR="004E2DBC" w:rsidRPr="004E2DBC" w:rsidTr="004E2DBC">
        <w:trPr>
          <w:trHeight w:val="179"/>
        </w:trPr>
        <w:tc>
          <w:tcPr>
            <w:tcW w:w="1836" w:type="dxa"/>
            <w:tcBorders>
              <w:top w:val="nil"/>
              <w:left w:val="single" w:sz="8" w:space="0" w:color="BDD6EE"/>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b/>
                <w:bCs/>
                <w:color w:val="000000"/>
                <w:sz w:val="20"/>
                <w:szCs w:val="20"/>
                <w:lang w:eastAsia="tr-TR"/>
              </w:rPr>
            </w:pPr>
            <w:r w:rsidRPr="004E2DBC">
              <w:rPr>
                <w:rFonts w:ascii="Calibri" w:eastAsia="Times New Roman" w:hAnsi="Calibri" w:cs="Calibri"/>
                <w:b/>
                <w:bCs/>
                <w:color w:val="000000"/>
                <w:sz w:val="20"/>
                <w:szCs w:val="20"/>
                <w:lang w:eastAsia="tr-TR"/>
              </w:rPr>
              <w:t>Lot</w:t>
            </w:r>
          </w:p>
        </w:tc>
        <w:tc>
          <w:tcPr>
            <w:tcW w:w="1978" w:type="dxa"/>
            <w:tcBorders>
              <w:top w:val="nil"/>
              <w:left w:val="nil"/>
              <w:bottom w:val="single" w:sz="8" w:space="0" w:color="BDD6EE"/>
              <w:right w:val="single" w:sz="8" w:space="0" w:color="BDD6EE"/>
            </w:tcBorders>
            <w:shd w:val="clear" w:color="auto" w:fill="auto"/>
            <w:noWrap/>
            <w:vAlign w:val="center"/>
            <w:hideMark/>
          </w:tcPr>
          <w:p w:rsidR="006A78CA" w:rsidRPr="004E2DBC" w:rsidRDefault="006A78CA" w:rsidP="006A78CA">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32.969</w:t>
            </w:r>
          </w:p>
        </w:tc>
        <w:tc>
          <w:tcPr>
            <w:tcW w:w="1695"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28.017</w:t>
            </w:r>
          </w:p>
        </w:tc>
        <w:tc>
          <w:tcPr>
            <w:tcW w:w="1835"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36.478</w:t>
            </w:r>
          </w:p>
        </w:tc>
        <w:tc>
          <w:tcPr>
            <w:tcW w:w="1871"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33.235</w:t>
            </w:r>
          </w:p>
        </w:tc>
      </w:tr>
      <w:tr w:rsidR="004E2DBC" w:rsidRPr="004E2DBC" w:rsidTr="004E2DBC">
        <w:trPr>
          <w:trHeight w:val="300"/>
        </w:trPr>
        <w:tc>
          <w:tcPr>
            <w:tcW w:w="1836" w:type="dxa"/>
            <w:tcBorders>
              <w:top w:val="nil"/>
              <w:left w:val="single" w:sz="8" w:space="0" w:color="BDD6EE"/>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b/>
                <w:bCs/>
                <w:color w:val="000000"/>
                <w:sz w:val="20"/>
                <w:szCs w:val="20"/>
                <w:lang w:eastAsia="tr-TR"/>
              </w:rPr>
            </w:pPr>
            <w:r w:rsidRPr="004E2DBC">
              <w:rPr>
                <w:rFonts w:ascii="Calibri" w:eastAsia="Times New Roman" w:hAnsi="Calibri" w:cs="Calibri"/>
                <w:b/>
                <w:bCs/>
                <w:color w:val="000000"/>
                <w:sz w:val="20"/>
                <w:szCs w:val="20"/>
                <w:lang w:eastAsia="tr-TR"/>
              </w:rPr>
              <w:t>Saatlik Lot</w:t>
            </w:r>
          </w:p>
        </w:tc>
        <w:tc>
          <w:tcPr>
            <w:tcW w:w="1978"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w:t>
            </w:r>
          </w:p>
        </w:tc>
        <w:tc>
          <w:tcPr>
            <w:tcW w:w="1695"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12</w:t>
            </w:r>
          </w:p>
        </w:tc>
        <w:tc>
          <w:tcPr>
            <w:tcW w:w="1835"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w:t>
            </w:r>
          </w:p>
        </w:tc>
        <w:tc>
          <w:tcPr>
            <w:tcW w:w="1871" w:type="dxa"/>
            <w:tcBorders>
              <w:top w:val="nil"/>
              <w:left w:val="nil"/>
              <w:bottom w:val="single" w:sz="8" w:space="0" w:color="BDD6EE"/>
              <w:right w:val="single" w:sz="8" w:space="0" w:color="BDD6EE"/>
            </w:tcBorders>
            <w:shd w:val="clear" w:color="auto" w:fill="auto"/>
            <w:noWrap/>
            <w:vAlign w:val="center"/>
            <w:hideMark/>
          </w:tcPr>
          <w:p w:rsidR="004E2DBC" w:rsidRPr="004E2DBC" w:rsidRDefault="006A78CA"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15</w:t>
            </w:r>
          </w:p>
        </w:tc>
      </w:tr>
    </w:tbl>
    <w:p w:rsidR="00F36AFA" w:rsidRPr="0082481D" w:rsidRDefault="00313215" w:rsidP="0082481D">
      <w:pPr>
        <w:pStyle w:val="Caption"/>
        <w:jc w:val="center"/>
        <w:rPr>
          <w:rFonts w:cstheme="minorHAnsi"/>
        </w:rPr>
      </w:pPr>
      <w:bookmarkStart w:id="26" w:name="_Toc85098570"/>
      <w:r w:rsidRPr="00313215">
        <w:rPr>
          <w:rFonts w:cstheme="minorHAnsi"/>
        </w:rPr>
        <w:t xml:space="preserve">Tablo </w:t>
      </w:r>
      <w:r w:rsidR="00B56224">
        <w:rPr>
          <w:rFonts w:cstheme="minorHAnsi"/>
        </w:rPr>
        <w:fldChar w:fldCharType="begin"/>
      </w:r>
      <w:r w:rsidR="00B56224">
        <w:rPr>
          <w:rFonts w:cstheme="minorHAnsi"/>
        </w:rPr>
        <w:instrText xml:space="preserve"> SEQ Tablo \* ARABIC </w:instrText>
      </w:r>
      <w:r w:rsidR="00B56224">
        <w:rPr>
          <w:rFonts w:cstheme="minorHAnsi"/>
        </w:rPr>
        <w:fldChar w:fldCharType="separate"/>
      </w:r>
      <w:r w:rsidR="00D12D06">
        <w:rPr>
          <w:rFonts w:cstheme="minorHAnsi"/>
          <w:noProof/>
        </w:rPr>
        <w:t>15</w:t>
      </w:r>
      <w:r w:rsidR="00B56224">
        <w:rPr>
          <w:rFonts w:cstheme="minorHAnsi"/>
        </w:rPr>
        <w:fldChar w:fldCharType="end"/>
      </w:r>
      <w:r w:rsidRPr="00313215">
        <w:rPr>
          <w:rFonts w:cstheme="minorHAnsi"/>
        </w:rPr>
        <w:t xml:space="preserve"> Örnek Katılımcı Çeyreklik Pozisyon Limitleri</w:t>
      </w:r>
      <w:bookmarkEnd w:id="26"/>
    </w:p>
    <w:p w:rsidR="009F64AB" w:rsidRPr="0082481D" w:rsidRDefault="004E2DBC" w:rsidP="0082481D">
      <w:pPr>
        <w:ind w:firstLine="708"/>
        <w:rPr>
          <w:rFonts w:cstheme="minorHAnsi"/>
        </w:rPr>
      </w:pPr>
      <w:r>
        <w:rPr>
          <w:rFonts w:cstheme="minorHAnsi"/>
        </w:rPr>
        <w:t>Y</w:t>
      </w:r>
      <w:r w:rsidRPr="00313215">
        <w:rPr>
          <w:rFonts w:cstheme="minorHAnsi"/>
        </w:rPr>
        <w:t xml:space="preserve"> Enerji A.Ş nin her ay için sahip olab</w:t>
      </w:r>
      <w:r>
        <w:rPr>
          <w:rFonts w:cstheme="minorHAnsi"/>
        </w:rPr>
        <w:t>ileceği pozisyon limitleri ise Y</w:t>
      </w:r>
      <w:r w:rsidRPr="00313215">
        <w:rPr>
          <w:rFonts w:cstheme="minorHAnsi"/>
        </w:rPr>
        <w:t xml:space="preserve"> Enerji A.Ş. aylık kontrat pozisyon limitinin aylık tüketim karakteristiklerine göre dağıtılması ile hesaplanır.</w:t>
      </w:r>
    </w:p>
    <w:p w:rsidR="009F64AB" w:rsidRDefault="009F64AB" w:rsidP="00F36AFA"/>
    <w:tbl>
      <w:tblPr>
        <w:tblW w:w="9270" w:type="dxa"/>
        <w:tblInd w:w="-10" w:type="dxa"/>
        <w:tblCellMar>
          <w:left w:w="70" w:type="dxa"/>
          <w:right w:w="70" w:type="dxa"/>
        </w:tblCellMar>
        <w:tblLook w:val="04A0" w:firstRow="1" w:lastRow="0" w:firstColumn="1" w:lastColumn="0" w:noHBand="0" w:noVBand="1"/>
      </w:tblPr>
      <w:tblGrid>
        <w:gridCol w:w="2835"/>
        <w:gridCol w:w="1843"/>
        <w:gridCol w:w="1418"/>
        <w:gridCol w:w="1417"/>
        <w:gridCol w:w="1757"/>
      </w:tblGrid>
      <w:tr w:rsidR="004E2DBC" w:rsidRPr="004E2DBC" w:rsidTr="004E2DBC">
        <w:trPr>
          <w:trHeight w:val="121"/>
        </w:trPr>
        <w:tc>
          <w:tcPr>
            <w:tcW w:w="9270" w:type="dxa"/>
            <w:gridSpan w:val="5"/>
            <w:tcBorders>
              <w:top w:val="single" w:sz="8" w:space="0" w:color="BDD6EE"/>
              <w:left w:val="single" w:sz="8" w:space="0" w:color="BDD6EE"/>
              <w:bottom w:val="single" w:sz="12" w:space="0" w:color="9CC2E5"/>
              <w:right w:val="single" w:sz="8" w:space="0" w:color="BDD6EE"/>
            </w:tcBorders>
            <w:shd w:val="clear" w:color="000000" w:fill="DEEAF6"/>
            <w:noWrap/>
            <w:vAlign w:val="center"/>
            <w:hideMark/>
          </w:tcPr>
          <w:p w:rsidR="004E2DBC" w:rsidRPr="004E2DBC" w:rsidRDefault="004E2DBC" w:rsidP="004E2DBC">
            <w:pPr>
              <w:spacing w:after="0" w:line="240" w:lineRule="auto"/>
              <w:jc w:val="center"/>
              <w:rPr>
                <w:rFonts w:ascii="Calibri" w:eastAsia="Times New Roman" w:hAnsi="Calibri" w:cs="Calibri"/>
                <w:b/>
                <w:bCs/>
                <w:color w:val="000000"/>
                <w:lang w:eastAsia="tr-TR"/>
              </w:rPr>
            </w:pPr>
            <w:r w:rsidRPr="004E2DBC">
              <w:rPr>
                <w:rFonts w:ascii="Calibri" w:eastAsia="Times New Roman" w:hAnsi="Calibri" w:cs="Calibri"/>
                <w:b/>
                <w:bCs/>
                <w:color w:val="000000"/>
                <w:lang w:eastAsia="tr-TR"/>
              </w:rPr>
              <w:t>Y Enerji A.Ş. Aylık Kontratlar Pozisyon Limitleri</w:t>
            </w:r>
          </w:p>
        </w:tc>
      </w:tr>
      <w:tr w:rsidR="00752375" w:rsidRPr="004E2DBC" w:rsidTr="00752375">
        <w:trPr>
          <w:trHeight w:val="127"/>
        </w:trPr>
        <w:tc>
          <w:tcPr>
            <w:tcW w:w="2835" w:type="dxa"/>
            <w:tcBorders>
              <w:top w:val="nil"/>
              <w:left w:val="single" w:sz="8" w:space="0" w:color="BDD6EE"/>
              <w:bottom w:val="single" w:sz="8" w:space="0" w:color="BDD6EE"/>
              <w:right w:val="single" w:sz="8" w:space="0" w:color="BDD6EE"/>
            </w:tcBorders>
            <w:shd w:val="clear" w:color="000000" w:fill="DEEAF6"/>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2021</w:t>
            </w:r>
          </w:p>
        </w:tc>
        <w:tc>
          <w:tcPr>
            <w:tcW w:w="1843" w:type="dxa"/>
            <w:tcBorders>
              <w:top w:val="nil"/>
              <w:left w:val="nil"/>
              <w:bottom w:val="single" w:sz="8" w:space="0" w:color="BDD6EE"/>
              <w:right w:val="single" w:sz="8" w:space="0" w:color="BDD6EE"/>
            </w:tcBorders>
            <w:shd w:val="clear" w:color="000000" w:fill="DEEAF6"/>
            <w:noWrap/>
            <w:vAlign w:val="center"/>
            <w:hideMark/>
          </w:tcPr>
          <w:p w:rsidR="004E2DBC" w:rsidRPr="004E2DBC" w:rsidRDefault="004E2DBC" w:rsidP="00752375">
            <w:pPr>
              <w:spacing w:after="0" w:line="240" w:lineRule="auto"/>
              <w:jc w:val="center"/>
              <w:rPr>
                <w:rFonts w:ascii="Calibri" w:eastAsia="Times New Roman" w:hAnsi="Calibri" w:cs="Calibri"/>
                <w:b/>
                <w:bCs/>
                <w:color w:val="000000"/>
                <w:sz w:val="20"/>
                <w:szCs w:val="20"/>
                <w:lang w:eastAsia="tr-TR"/>
              </w:rPr>
            </w:pPr>
            <w:r w:rsidRPr="004E2DBC">
              <w:rPr>
                <w:rFonts w:ascii="Calibri" w:eastAsia="Times New Roman" w:hAnsi="Calibri" w:cs="Calibri"/>
                <w:b/>
                <w:bCs/>
                <w:color w:val="000000"/>
                <w:sz w:val="20"/>
                <w:szCs w:val="20"/>
                <w:lang w:eastAsia="tr-TR"/>
              </w:rPr>
              <w:t>MWh</w:t>
            </w:r>
          </w:p>
        </w:tc>
        <w:tc>
          <w:tcPr>
            <w:tcW w:w="1418" w:type="dxa"/>
            <w:tcBorders>
              <w:top w:val="nil"/>
              <w:left w:val="nil"/>
              <w:bottom w:val="single" w:sz="8" w:space="0" w:color="BDD6EE"/>
              <w:right w:val="single" w:sz="8" w:space="0" w:color="BDD6EE"/>
            </w:tcBorders>
            <w:shd w:val="clear" w:color="000000" w:fill="DEEAF6"/>
            <w:noWrap/>
            <w:vAlign w:val="center"/>
            <w:hideMark/>
          </w:tcPr>
          <w:p w:rsidR="004E2DBC" w:rsidRPr="004E2DBC" w:rsidRDefault="004E2DBC" w:rsidP="00752375">
            <w:pPr>
              <w:spacing w:after="0" w:line="240" w:lineRule="auto"/>
              <w:jc w:val="center"/>
              <w:rPr>
                <w:rFonts w:ascii="Calibri" w:eastAsia="Times New Roman" w:hAnsi="Calibri" w:cs="Calibri"/>
                <w:b/>
                <w:bCs/>
                <w:color w:val="000000"/>
                <w:sz w:val="20"/>
                <w:szCs w:val="20"/>
                <w:lang w:eastAsia="tr-TR"/>
              </w:rPr>
            </w:pPr>
            <w:r w:rsidRPr="004E2DBC">
              <w:rPr>
                <w:rFonts w:ascii="Calibri" w:eastAsia="Times New Roman" w:hAnsi="Calibri" w:cs="Calibri"/>
                <w:b/>
                <w:bCs/>
                <w:color w:val="000000"/>
                <w:sz w:val="20"/>
                <w:szCs w:val="20"/>
                <w:lang w:eastAsia="tr-TR"/>
              </w:rPr>
              <w:t>MW</w:t>
            </w:r>
          </w:p>
        </w:tc>
        <w:tc>
          <w:tcPr>
            <w:tcW w:w="1417" w:type="dxa"/>
            <w:tcBorders>
              <w:top w:val="nil"/>
              <w:left w:val="nil"/>
              <w:bottom w:val="single" w:sz="8" w:space="0" w:color="BDD6EE"/>
              <w:right w:val="single" w:sz="8" w:space="0" w:color="BDD6EE"/>
            </w:tcBorders>
            <w:shd w:val="clear" w:color="000000" w:fill="DEEAF6"/>
            <w:noWrap/>
            <w:vAlign w:val="center"/>
            <w:hideMark/>
          </w:tcPr>
          <w:p w:rsidR="004E2DBC" w:rsidRPr="004E2DBC" w:rsidRDefault="004E2DBC" w:rsidP="00752375">
            <w:pPr>
              <w:spacing w:after="0" w:line="240" w:lineRule="auto"/>
              <w:jc w:val="center"/>
              <w:rPr>
                <w:rFonts w:ascii="Calibri" w:eastAsia="Times New Roman" w:hAnsi="Calibri" w:cs="Calibri"/>
                <w:b/>
                <w:bCs/>
                <w:color w:val="000000"/>
                <w:sz w:val="20"/>
                <w:szCs w:val="20"/>
                <w:lang w:eastAsia="tr-TR"/>
              </w:rPr>
            </w:pPr>
            <w:r w:rsidRPr="004E2DBC">
              <w:rPr>
                <w:rFonts w:ascii="Calibri" w:eastAsia="Times New Roman" w:hAnsi="Calibri" w:cs="Calibri"/>
                <w:b/>
                <w:bCs/>
                <w:color w:val="000000"/>
                <w:sz w:val="20"/>
                <w:szCs w:val="20"/>
                <w:lang w:eastAsia="tr-TR"/>
              </w:rPr>
              <w:t>Lot</w:t>
            </w:r>
          </w:p>
        </w:tc>
        <w:tc>
          <w:tcPr>
            <w:tcW w:w="1757" w:type="dxa"/>
            <w:tcBorders>
              <w:top w:val="nil"/>
              <w:left w:val="nil"/>
              <w:bottom w:val="single" w:sz="8" w:space="0" w:color="BDD6EE"/>
              <w:right w:val="single" w:sz="8" w:space="0" w:color="BDD6EE"/>
            </w:tcBorders>
            <w:shd w:val="clear" w:color="000000" w:fill="DEEAF6"/>
            <w:noWrap/>
            <w:vAlign w:val="center"/>
            <w:hideMark/>
          </w:tcPr>
          <w:p w:rsidR="004E2DBC" w:rsidRPr="004E2DBC" w:rsidRDefault="004E2DBC" w:rsidP="00752375">
            <w:pPr>
              <w:spacing w:after="0" w:line="240" w:lineRule="auto"/>
              <w:jc w:val="center"/>
              <w:rPr>
                <w:rFonts w:ascii="Calibri" w:eastAsia="Times New Roman" w:hAnsi="Calibri" w:cs="Calibri"/>
                <w:b/>
                <w:bCs/>
                <w:color w:val="000000"/>
                <w:sz w:val="20"/>
                <w:szCs w:val="20"/>
                <w:lang w:eastAsia="tr-TR"/>
              </w:rPr>
            </w:pPr>
            <w:r w:rsidRPr="004E2DBC">
              <w:rPr>
                <w:rFonts w:ascii="Calibri" w:eastAsia="Times New Roman" w:hAnsi="Calibri" w:cs="Calibri"/>
                <w:b/>
                <w:bCs/>
                <w:color w:val="000000"/>
                <w:sz w:val="20"/>
                <w:szCs w:val="20"/>
                <w:lang w:eastAsia="tr-TR"/>
              </w:rPr>
              <w:t>Saatlik Lot</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Ocak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2.347</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23.465</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9F64AB"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31</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Şubat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2.233</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22.325</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9F64AB"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33</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Mart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2.040</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20.396</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9F64AB"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27</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Nisan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1.662</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2</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16.619</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23</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Mayıs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1.672</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2</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16.721</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22</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Haziran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2.117</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21.171</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29</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Temmuz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2.476</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24.762</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33</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Ağustos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2.540</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25.403</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34</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Eylül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2.397</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23.966</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33</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Ekim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2.093</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8B2E0E">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20.934</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28</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Kasım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2.181</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21.813</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30</w:t>
            </w:r>
          </w:p>
        </w:tc>
      </w:tr>
      <w:tr w:rsidR="004E2DBC" w:rsidRPr="004E2DBC" w:rsidTr="00752375">
        <w:trPr>
          <w:trHeight w:val="57"/>
        </w:trPr>
        <w:tc>
          <w:tcPr>
            <w:tcW w:w="2835" w:type="dxa"/>
            <w:tcBorders>
              <w:top w:val="nil"/>
              <w:left w:val="single" w:sz="8" w:space="0" w:color="BDD6EE"/>
              <w:bottom w:val="single" w:sz="8" w:space="0" w:color="BDD6EE"/>
              <w:right w:val="single" w:sz="8" w:space="0" w:color="BDD6EE"/>
            </w:tcBorders>
            <w:shd w:val="clear" w:color="auto" w:fill="auto"/>
            <w:vAlign w:val="center"/>
            <w:hideMark/>
          </w:tcPr>
          <w:p w:rsidR="004E2DBC" w:rsidRPr="004E2DBC" w:rsidRDefault="004E2DBC" w:rsidP="004E2DBC">
            <w:pPr>
              <w:spacing w:after="0" w:line="240" w:lineRule="auto"/>
              <w:jc w:val="center"/>
              <w:rPr>
                <w:rFonts w:ascii="Calibri" w:eastAsia="Times New Roman" w:hAnsi="Calibri" w:cs="Calibri"/>
                <w:b/>
                <w:bCs/>
                <w:i/>
                <w:iCs/>
                <w:color w:val="000000"/>
                <w:sz w:val="20"/>
                <w:szCs w:val="20"/>
                <w:lang w:eastAsia="tr-TR"/>
              </w:rPr>
            </w:pPr>
            <w:r w:rsidRPr="004E2DBC">
              <w:rPr>
                <w:rFonts w:ascii="Calibri" w:eastAsia="Times New Roman" w:hAnsi="Calibri" w:cs="Calibri"/>
                <w:b/>
                <w:bCs/>
                <w:i/>
                <w:iCs/>
                <w:color w:val="000000"/>
                <w:sz w:val="20"/>
                <w:szCs w:val="20"/>
                <w:lang w:eastAsia="tr-TR"/>
              </w:rPr>
              <w:t xml:space="preserve">Aralık Ayı Pozisyon Limiti </w:t>
            </w:r>
          </w:p>
        </w:tc>
        <w:tc>
          <w:tcPr>
            <w:tcW w:w="1843"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2.382</w:t>
            </w:r>
          </w:p>
        </w:tc>
        <w:tc>
          <w:tcPr>
            <w:tcW w:w="1418" w:type="dxa"/>
            <w:tcBorders>
              <w:top w:val="nil"/>
              <w:left w:val="nil"/>
              <w:bottom w:val="single" w:sz="8" w:space="0" w:color="BDD6EE"/>
              <w:right w:val="single" w:sz="8" w:space="0" w:color="BDD6EE"/>
            </w:tcBorders>
            <w:shd w:val="clear" w:color="auto" w:fill="auto"/>
            <w:noWrap/>
            <w:vAlign w:val="center"/>
            <w:hideMark/>
          </w:tcPr>
          <w:p w:rsidR="004E2DBC" w:rsidRPr="004E2DBC" w:rsidRDefault="004E2DBC" w:rsidP="004E2DBC">
            <w:pPr>
              <w:spacing w:after="0" w:line="240" w:lineRule="auto"/>
              <w:jc w:val="center"/>
              <w:rPr>
                <w:rFonts w:ascii="Calibri" w:eastAsia="Times New Roman" w:hAnsi="Calibri" w:cs="Calibri"/>
                <w:color w:val="000000"/>
                <w:sz w:val="20"/>
                <w:szCs w:val="20"/>
                <w:lang w:eastAsia="tr-TR"/>
              </w:rPr>
            </w:pPr>
            <w:r w:rsidRPr="004E2DBC">
              <w:rPr>
                <w:rFonts w:ascii="Calibri" w:eastAsia="Times New Roman" w:hAnsi="Calibri" w:cs="Calibri"/>
                <w:color w:val="000000"/>
                <w:sz w:val="20"/>
                <w:szCs w:val="20"/>
                <w:lang w:eastAsia="tr-TR"/>
              </w:rPr>
              <w:t>3</w:t>
            </w:r>
          </w:p>
        </w:tc>
        <w:tc>
          <w:tcPr>
            <w:tcW w:w="1417" w:type="dxa"/>
            <w:tcBorders>
              <w:top w:val="nil"/>
              <w:left w:val="nil"/>
              <w:bottom w:val="single" w:sz="8" w:space="0" w:color="BDD6EE"/>
              <w:right w:val="single" w:sz="8" w:space="0" w:color="BDD6EE"/>
            </w:tcBorders>
            <w:shd w:val="clear" w:color="auto" w:fill="auto"/>
            <w:noWrap/>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23.819</w:t>
            </w:r>
          </w:p>
        </w:tc>
        <w:tc>
          <w:tcPr>
            <w:tcW w:w="1757" w:type="dxa"/>
            <w:tcBorders>
              <w:top w:val="nil"/>
              <w:left w:val="nil"/>
              <w:bottom w:val="single" w:sz="8" w:space="0" w:color="BDD6EE"/>
              <w:right w:val="single" w:sz="8" w:space="0" w:color="BDD6EE"/>
            </w:tcBorders>
            <w:shd w:val="clear" w:color="auto" w:fill="auto"/>
            <w:noWrap/>
            <w:vAlign w:val="center"/>
            <w:hideMark/>
          </w:tcPr>
          <w:p w:rsidR="004E2DBC" w:rsidRPr="004E2DBC" w:rsidRDefault="008B2E0E" w:rsidP="004E2DBC">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32</w:t>
            </w:r>
          </w:p>
        </w:tc>
      </w:tr>
    </w:tbl>
    <w:p w:rsidR="00313215" w:rsidRPr="00313215" w:rsidRDefault="00313215" w:rsidP="00313215">
      <w:pPr>
        <w:pStyle w:val="Caption"/>
        <w:jc w:val="center"/>
        <w:rPr>
          <w:rFonts w:cstheme="minorHAnsi"/>
        </w:rPr>
      </w:pPr>
      <w:bookmarkStart w:id="27" w:name="_Toc85098571"/>
      <w:r w:rsidRPr="00313215">
        <w:rPr>
          <w:rFonts w:cstheme="minorHAnsi"/>
        </w:rPr>
        <w:t xml:space="preserve">Tablo </w:t>
      </w:r>
      <w:r w:rsidR="00B56224">
        <w:rPr>
          <w:rFonts w:cstheme="minorHAnsi"/>
        </w:rPr>
        <w:fldChar w:fldCharType="begin"/>
      </w:r>
      <w:r w:rsidR="00B56224">
        <w:rPr>
          <w:rFonts w:cstheme="minorHAnsi"/>
        </w:rPr>
        <w:instrText xml:space="preserve"> SEQ Tablo \* ARABIC </w:instrText>
      </w:r>
      <w:r w:rsidR="00B56224">
        <w:rPr>
          <w:rFonts w:cstheme="minorHAnsi"/>
        </w:rPr>
        <w:fldChar w:fldCharType="separate"/>
      </w:r>
      <w:r w:rsidR="00D12D06">
        <w:rPr>
          <w:rFonts w:cstheme="minorHAnsi"/>
          <w:noProof/>
        </w:rPr>
        <w:t>16</w:t>
      </w:r>
      <w:r w:rsidR="00B56224">
        <w:rPr>
          <w:rFonts w:cstheme="minorHAnsi"/>
        </w:rPr>
        <w:fldChar w:fldCharType="end"/>
      </w:r>
      <w:r w:rsidRPr="00313215">
        <w:rPr>
          <w:rFonts w:cstheme="minorHAnsi"/>
        </w:rPr>
        <w:t xml:space="preserve"> Örnek Katılımcı Aylık Pozisyon Limitleri</w:t>
      </w:r>
      <w:bookmarkEnd w:id="27"/>
    </w:p>
    <w:sectPr w:rsidR="00313215" w:rsidRPr="00313215" w:rsidSect="00D12685">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E7" w:rsidRDefault="009627E7" w:rsidP="007D688F">
      <w:pPr>
        <w:spacing w:after="0" w:line="240" w:lineRule="auto"/>
      </w:pPr>
      <w:r>
        <w:separator/>
      </w:r>
    </w:p>
  </w:endnote>
  <w:endnote w:type="continuationSeparator" w:id="0">
    <w:p w:rsidR="009627E7" w:rsidRDefault="009627E7" w:rsidP="007D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068901"/>
      <w:docPartObj>
        <w:docPartGallery w:val="Page Numbers (Bottom of Page)"/>
        <w:docPartUnique/>
      </w:docPartObj>
    </w:sdtPr>
    <w:sdtEndPr/>
    <w:sdtContent>
      <w:p w:rsidR="009627E7" w:rsidRDefault="009627E7">
        <w:pPr>
          <w:pStyle w:val="Footer"/>
        </w:pPr>
        <w:r>
          <w:rPr>
            <w:noProof/>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540000" cy="5760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57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48"/>
                                </w:rPr>
                                <w:id w:val="1709992740"/>
                              </w:sdtPr>
                              <w:sdtEndPr/>
                              <w:sdtContent>
                                <w:sdt>
                                  <w:sdtPr>
                                    <w:rPr>
                                      <w:rFonts w:asciiTheme="majorHAnsi" w:eastAsiaTheme="majorEastAsia" w:hAnsiTheme="majorHAnsi" w:cstheme="majorBidi"/>
                                      <w:szCs w:val="48"/>
                                    </w:rPr>
                                    <w:id w:val="-1904517296"/>
                                  </w:sdtPr>
                                  <w:sdtEndPr/>
                                  <w:sdtContent>
                                    <w:p w:rsidR="009627E7" w:rsidRPr="00A6554C" w:rsidRDefault="009627E7">
                                      <w:pPr>
                                        <w:jc w:val="center"/>
                                        <w:rPr>
                                          <w:rFonts w:asciiTheme="majorHAnsi" w:eastAsiaTheme="majorEastAsia" w:hAnsiTheme="majorHAnsi" w:cstheme="majorBidi"/>
                                          <w:szCs w:val="48"/>
                                        </w:rPr>
                                      </w:pPr>
                                      <w:r w:rsidRPr="00A6554C">
                                        <w:rPr>
                                          <w:rFonts w:eastAsiaTheme="minorEastAsia" w:cs="Times New Roman"/>
                                          <w:sz w:val="8"/>
                                        </w:rPr>
                                        <w:fldChar w:fldCharType="begin"/>
                                      </w:r>
                                      <w:r w:rsidRPr="00A6554C">
                                        <w:rPr>
                                          <w:sz w:val="8"/>
                                        </w:rPr>
                                        <w:instrText>PAGE   \* MERGEFORMAT</w:instrText>
                                      </w:r>
                                      <w:r w:rsidRPr="00A6554C">
                                        <w:rPr>
                                          <w:rFonts w:eastAsiaTheme="minorEastAsia" w:cs="Times New Roman"/>
                                          <w:sz w:val="8"/>
                                        </w:rPr>
                                        <w:fldChar w:fldCharType="separate"/>
                                      </w:r>
                                      <w:r w:rsidR="00080334" w:rsidRPr="00080334">
                                        <w:rPr>
                                          <w:rFonts w:asciiTheme="majorHAnsi" w:eastAsiaTheme="majorEastAsia" w:hAnsiTheme="majorHAnsi" w:cstheme="majorBidi"/>
                                          <w:noProof/>
                                          <w:szCs w:val="48"/>
                                        </w:rPr>
                                        <w:t>6</w:t>
                                      </w:r>
                                      <w:r w:rsidRPr="00A6554C">
                                        <w:rPr>
                                          <w:rFonts w:asciiTheme="majorHAnsi" w:eastAsiaTheme="majorEastAsia" w:hAnsiTheme="majorHAnsi" w:cstheme="majorBidi"/>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7" style="position:absolute;margin-left:0;margin-top:0;width:42.5pt;height:45.3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nghQIAAAcFAAAOAAAAZHJzL2Uyb0RvYy54bWysVN1u0zAUvkfiHSzfd0m69CfR0mlbKUIa&#10;MGnwAK7tJNYc29hu04F4LV6AF+PYabsWbhAiF845Psefz893fHW96yTacuuEVhXOLlKMuKKaCdVU&#10;+POn1WiOkfNEMSK14hV+5g5fL16/uupNyce61ZJxiwBEubI3FW69N2WSONryjrgLbbgCY61tRzyo&#10;tkmYJT2gdzIZp+k06bVlxmrKnYPd5WDEi4hf15z6j3XtuEeywhCbj6uN6zqsyeKKlI0lphV0Hwb5&#10;hyg6IhRceoRaEk/Qxoo/oDpBrXa69hdUd4mua0F5zAGyydLfsnlsieExFyiOM8cyuf8HSz9sHywS&#10;rMKXGCnSQYuW4on9/GF9wxW6DAXqjSvB79E82JCiM/eaPjmk9F1LVMNvrNV9ywmDsLLgn5wdCIqD&#10;o2jdv9cM8MnG61irXW27AAhVQLvYkudjS/jOIwqbkzyFDyMKpslsGuRwAykPh411/i3XHQpChS10&#10;PIKT7b3zg+vBJQavpWArIWVUbLO+kxZtCbBjFb89ujt1kyo4Kx2ODYjDDsQIdwRbiDZ2+1uRjfP0&#10;dlyMVtP5bJSv8smomKXzUZoVt8U0zYt8ufoeAszyshWMcXUvFD8wL8v/rrP7GRg4E7mH+goXk/Ek&#10;5n4WvTtNMhTzWMIzt054GEQpugrPj06kDH19oxikTUpPhBzk5Dz82BCoweEfqxJZEBo/EMjv1jtA&#10;CWxYa/YMfLAa+gWthdcDhFbbrxj1MIkVdl82xHKM5DsFnCqyPA+jG5V8MhuDYk8t61MLURSgKuwx&#10;GsQ7P4z7xljRtHBTFmuk9A3wsBaRIy9R7dkL0xaT2b8MYZxP9ej18n4tfgEAAP//AwBQSwMEFAAG&#10;AAgAAAAhAESb1urZAAAAAwEAAA8AAABkcnMvZG93bnJldi54bWxMj81OwzAQhO9IvIO1SNyozU9D&#10;G+JUCKkn4NAWies23iYR8TrEThvenoULXEYazWrm22I1+U4daYhtYAvXMwOKuAqu5drC2259tQAV&#10;E7LDLjBZ+KIIq/L8rMDchRNv6LhNtZISjjlaaFLqc61j1ZDHOAs9sWSHMHhMYodauwFPUu47fWNM&#10;pj22LAsN9vTUUPWxHb0FzO7c5+vh9mX3PGa4rCeznr8bay8vpscHUImm9HcMP/iCDqUw7cPILqrO&#10;gjySflWyxVzc3sLS3IMuC/2fvfwGAAD//wMAUEsBAi0AFAAGAAgAAAAhALaDOJL+AAAA4QEAABMA&#10;AAAAAAAAAAAAAAAAAAAAAFtDb250ZW50X1R5cGVzXS54bWxQSwECLQAUAAYACAAAACEAOP0h/9YA&#10;AACUAQAACwAAAAAAAAAAAAAAAAAvAQAAX3JlbHMvLnJlbHNQSwECLQAUAAYACAAAACEAL+H54IUC&#10;AAAHBQAADgAAAAAAAAAAAAAAAAAuAgAAZHJzL2Uyb0RvYy54bWxQSwECLQAUAAYACAAAACEARJvW&#10;6tkAAAADAQAADwAAAAAAAAAAAAAAAADfBAAAZHJzL2Rvd25yZXYueG1sUEsFBgAAAAAEAAQA8wAA&#10;AOUFAAAAAA==&#10;" stroked="f">
                  <v:textbox>
                    <w:txbxContent>
                      <w:sdt>
                        <w:sdtPr>
                          <w:rPr>
                            <w:rFonts w:asciiTheme="majorHAnsi" w:eastAsiaTheme="majorEastAsia" w:hAnsiTheme="majorHAnsi" w:cstheme="majorBidi"/>
                            <w:szCs w:val="48"/>
                          </w:rPr>
                          <w:id w:val="1709992740"/>
                        </w:sdtPr>
                        <w:sdtEndPr/>
                        <w:sdtContent>
                          <w:sdt>
                            <w:sdtPr>
                              <w:rPr>
                                <w:rFonts w:asciiTheme="majorHAnsi" w:eastAsiaTheme="majorEastAsia" w:hAnsiTheme="majorHAnsi" w:cstheme="majorBidi"/>
                                <w:szCs w:val="48"/>
                              </w:rPr>
                              <w:id w:val="-1904517296"/>
                            </w:sdtPr>
                            <w:sdtEndPr/>
                            <w:sdtContent>
                              <w:p w:rsidR="009627E7" w:rsidRPr="00A6554C" w:rsidRDefault="009627E7">
                                <w:pPr>
                                  <w:jc w:val="center"/>
                                  <w:rPr>
                                    <w:rFonts w:asciiTheme="majorHAnsi" w:eastAsiaTheme="majorEastAsia" w:hAnsiTheme="majorHAnsi" w:cstheme="majorBidi"/>
                                    <w:szCs w:val="48"/>
                                  </w:rPr>
                                </w:pPr>
                                <w:r w:rsidRPr="00A6554C">
                                  <w:rPr>
                                    <w:rFonts w:eastAsiaTheme="minorEastAsia" w:cs="Times New Roman"/>
                                    <w:sz w:val="8"/>
                                  </w:rPr>
                                  <w:fldChar w:fldCharType="begin"/>
                                </w:r>
                                <w:r w:rsidRPr="00A6554C">
                                  <w:rPr>
                                    <w:sz w:val="8"/>
                                  </w:rPr>
                                  <w:instrText>PAGE   \* MERGEFORMAT</w:instrText>
                                </w:r>
                                <w:r w:rsidRPr="00A6554C">
                                  <w:rPr>
                                    <w:rFonts w:eastAsiaTheme="minorEastAsia" w:cs="Times New Roman"/>
                                    <w:sz w:val="8"/>
                                  </w:rPr>
                                  <w:fldChar w:fldCharType="separate"/>
                                </w:r>
                                <w:r w:rsidR="00080334" w:rsidRPr="00080334">
                                  <w:rPr>
                                    <w:rFonts w:asciiTheme="majorHAnsi" w:eastAsiaTheme="majorEastAsia" w:hAnsiTheme="majorHAnsi" w:cstheme="majorBidi"/>
                                    <w:noProof/>
                                    <w:szCs w:val="48"/>
                                  </w:rPr>
                                  <w:t>6</w:t>
                                </w:r>
                                <w:r w:rsidRPr="00A6554C">
                                  <w:rPr>
                                    <w:rFonts w:asciiTheme="majorHAnsi" w:eastAsiaTheme="majorEastAsia" w:hAnsiTheme="majorHAnsi" w:cstheme="majorBidi"/>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E7" w:rsidRDefault="009627E7" w:rsidP="007D688F">
      <w:pPr>
        <w:spacing w:after="0" w:line="240" w:lineRule="auto"/>
      </w:pPr>
      <w:r>
        <w:separator/>
      </w:r>
    </w:p>
  </w:footnote>
  <w:footnote w:type="continuationSeparator" w:id="0">
    <w:p w:rsidR="009627E7" w:rsidRDefault="009627E7" w:rsidP="007D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F1A"/>
    <w:multiLevelType w:val="hybridMultilevel"/>
    <w:tmpl w:val="0AC2136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2DE84DC2"/>
    <w:multiLevelType w:val="multilevel"/>
    <w:tmpl w:val="B8F63A92"/>
    <w:lvl w:ilvl="0">
      <w:start w:val="1"/>
      <w:numFmt w:val="decimal"/>
      <w:pStyle w:val="Heading1"/>
      <w:lvlText w:val="%1"/>
      <w:lvlJc w:val="left"/>
      <w:pPr>
        <w:ind w:left="432" w:hanging="432"/>
      </w:pPr>
    </w:lvl>
    <w:lvl w:ilvl="1">
      <w:start w:val="1"/>
      <w:numFmt w:val="decimal"/>
      <w:pStyle w:val="Heading2"/>
      <w:lvlText w:val="%1.%2"/>
      <w:lvlJc w:val="left"/>
      <w:pPr>
        <w:ind w:left="796" w:hanging="576"/>
      </w:pPr>
    </w:lvl>
    <w:lvl w:ilvl="2">
      <w:start w:val="1"/>
      <w:numFmt w:val="decimal"/>
      <w:pStyle w:val="Heading3"/>
      <w:lvlText w:val="%1.%2.%3"/>
      <w:lvlJc w:val="left"/>
      <w:pPr>
        <w:ind w:left="861" w:hanging="720"/>
      </w:pPr>
    </w:lvl>
    <w:lvl w:ilvl="3">
      <w:start w:val="1"/>
      <w:numFmt w:val="lowerRoman"/>
      <w:lvlText w:val="%4."/>
      <w:lvlJc w:val="righ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E970A29"/>
    <w:multiLevelType w:val="multilevel"/>
    <w:tmpl w:val="498CF5C6"/>
    <w:lvl w:ilvl="0">
      <w:start w:val="4"/>
      <w:numFmt w:val="decimal"/>
      <w:lvlText w:val="%1."/>
      <w:lvlJc w:val="left"/>
      <w:pPr>
        <w:ind w:left="420" w:hanging="420"/>
      </w:pPr>
      <w:rPr>
        <w:rFonts w:hint="default"/>
      </w:rPr>
    </w:lvl>
    <w:lvl w:ilvl="1">
      <w:start w:val="1"/>
      <w:numFmt w:val="decimal"/>
      <w:lvlText w:val="%1.%2."/>
      <w:lvlJc w:val="left"/>
      <w:pPr>
        <w:ind w:left="940" w:hanging="7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abstractNum w:abstractNumId="3" w15:restartNumberingAfterBreak="0">
    <w:nsid w:val="529B5DAA"/>
    <w:multiLevelType w:val="multilevel"/>
    <w:tmpl w:val="498CF5C6"/>
    <w:lvl w:ilvl="0">
      <w:start w:val="4"/>
      <w:numFmt w:val="decimal"/>
      <w:lvlText w:val="%1."/>
      <w:lvlJc w:val="left"/>
      <w:pPr>
        <w:ind w:left="420" w:hanging="420"/>
      </w:pPr>
      <w:rPr>
        <w:rFonts w:hint="default"/>
      </w:rPr>
    </w:lvl>
    <w:lvl w:ilvl="1">
      <w:start w:val="1"/>
      <w:numFmt w:val="decimal"/>
      <w:lvlText w:val="%1.%2."/>
      <w:lvlJc w:val="left"/>
      <w:pPr>
        <w:ind w:left="940" w:hanging="7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abstractNum w:abstractNumId="4" w15:restartNumberingAfterBreak="0">
    <w:nsid w:val="63BC72C7"/>
    <w:multiLevelType w:val="multilevel"/>
    <w:tmpl w:val="498CF5C6"/>
    <w:lvl w:ilvl="0">
      <w:start w:val="4"/>
      <w:numFmt w:val="decimal"/>
      <w:lvlText w:val="%1."/>
      <w:lvlJc w:val="left"/>
      <w:pPr>
        <w:ind w:left="420" w:hanging="420"/>
      </w:pPr>
      <w:rPr>
        <w:rFonts w:hint="default"/>
      </w:rPr>
    </w:lvl>
    <w:lvl w:ilvl="1">
      <w:start w:val="1"/>
      <w:numFmt w:val="decimal"/>
      <w:lvlText w:val="%1.%2."/>
      <w:lvlJc w:val="left"/>
      <w:pPr>
        <w:ind w:left="940" w:hanging="7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2320" w:hanging="144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3120" w:hanging="180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num w:numId="1">
    <w:abstractNumId w:val="2"/>
  </w:num>
  <w:num w:numId="2">
    <w:abstractNumId w:val="4"/>
  </w:num>
  <w:num w:numId="3">
    <w:abstractNumId w:val="3"/>
  </w:num>
  <w:num w:numId="4">
    <w:abstractNumId w:val="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51"/>
    <w:rsid w:val="000050C6"/>
    <w:rsid w:val="000135A5"/>
    <w:rsid w:val="00023725"/>
    <w:rsid w:val="000304EE"/>
    <w:rsid w:val="000532DB"/>
    <w:rsid w:val="00057498"/>
    <w:rsid w:val="00060988"/>
    <w:rsid w:val="0007311A"/>
    <w:rsid w:val="00080334"/>
    <w:rsid w:val="000A3EED"/>
    <w:rsid w:val="000B616B"/>
    <w:rsid w:val="000C0EE1"/>
    <w:rsid w:val="000C7321"/>
    <w:rsid w:val="000D74E6"/>
    <w:rsid w:val="000F6BCA"/>
    <w:rsid w:val="00111424"/>
    <w:rsid w:val="00111450"/>
    <w:rsid w:val="00142F62"/>
    <w:rsid w:val="00180A34"/>
    <w:rsid w:val="001869B0"/>
    <w:rsid w:val="00195CE5"/>
    <w:rsid w:val="001C4028"/>
    <w:rsid w:val="001F3F9F"/>
    <w:rsid w:val="002161DB"/>
    <w:rsid w:val="0023350D"/>
    <w:rsid w:val="002335D4"/>
    <w:rsid w:val="0024695B"/>
    <w:rsid w:val="00247A2C"/>
    <w:rsid w:val="00296747"/>
    <w:rsid w:val="002B4B18"/>
    <w:rsid w:val="002D2D7A"/>
    <w:rsid w:val="002D7BF6"/>
    <w:rsid w:val="002E06FA"/>
    <w:rsid w:val="002E1C24"/>
    <w:rsid w:val="00313215"/>
    <w:rsid w:val="00322F04"/>
    <w:rsid w:val="003260F0"/>
    <w:rsid w:val="00356D6B"/>
    <w:rsid w:val="0038445D"/>
    <w:rsid w:val="003953AF"/>
    <w:rsid w:val="003D3124"/>
    <w:rsid w:val="003F312A"/>
    <w:rsid w:val="0040025D"/>
    <w:rsid w:val="0040138E"/>
    <w:rsid w:val="004174D4"/>
    <w:rsid w:val="0042328B"/>
    <w:rsid w:val="00443EB9"/>
    <w:rsid w:val="0044517C"/>
    <w:rsid w:val="00484352"/>
    <w:rsid w:val="0048752F"/>
    <w:rsid w:val="004A1CBB"/>
    <w:rsid w:val="004A2440"/>
    <w:rsid w:val="004B3211"/>
    <w:rsid w:val="004E06F4"/>
    <w:rsid w:val="004E2DBC"/>
    <w:rsid w:val="00504868"/>
    <w:rsid w:val="00510260"/>
    <w:rsid w:val="00523B0E"/>
    <w:rsid w:val="005337E7"/>
    <w:rsid w:val="005562FC"/>
    <w:rsid w:val="0057037D"/>
    <w:rsid w:val="00593C12"/>
    <w:rsid w:val="005C3DAB"/>
    <w:rsid w:val="005C5AD9"/>
    <w:rsid w:val="005D3F0C"/>
    <w:rsid w:val="005E2A12"/>
    <w:rsid w:val="005E3089"/>
    <w:rsid w:val="005E37F4"/>
    <w:rsid w:val="005E57E2"/>
    <w:rsid w:val="005F50B4"/>
    <w:rsid w:val="00602968"/>
    <w:rsid w:val="00612571"/>
    <w:rsid w:val="0063289D"/>
    <w:rsid w:val="00643FAE"/>
    <w:rsid w:val="00653B93"/>
    <w:rsid w:val="006565CA"/>
    <w:rsid w:val="0066293C"/>
    <w:rsid w:val="00681675"/>
    <w:rsid w:val="00684597"/>
    <w:rsid w:val="00686A23"/>
    <w:rsid w:val="006A78CA"/>
    <w:rsid w:val="006B194B"/>
    <w:rsid w:val="006B298C"/>
    <w:rsid w:val="006B7684"/>
    <w:rsid w:val="006D0515"/>
    <w:rsid w:val="006E1728"/>
    <w:rsid w:val="0070121F"/>
    <w:rsid w:val="007355BF"/>
    <w:rsid w:val="00736E92"/>
    <w:rsid w:val="00737DFD"/>
    <w:rsid w:val="00752375"/>
    <w:rsid w:val="00754E30"/>
    <w:rsid w:val="00765A9A"/>
    <w:rsid w:val="0076633F"/>
    <w:rsid w:val="00777B7C"/>
    <w:rsid w:val="00783404"/>
    <w:rsid w:val="00796E5A"/>
    <w:rsid w:val="007A0EC9"/>
    <w:rsid w:val="007B6ED7"/>
    <w:rsid w:val="007D688F"/>
    <w:rsid w:val="007D689C"/>
    <w:rsid w:val="007F11D4"/>
    <w:rsid w:val="007F634B"/>
    <w:rsid w:val="008077BC"/>
    <w:rsid w:val="0081009E"/>
    <w:rsid w:val="0082481D"/>
    <w:rsid w:val="00836B7C"/>
    <w:rsid w:val="008415C6"/>
    <w:rsid w:val="00841DB5"/>
    <w:rsid w:val="00887BC3"/>
    <w:rsid w:val="008A0F63"/>
    <w:rsid w:val="008B18E7"/>
    <w:rsid w:val="008B2E0E"/>
    <w:rsid w:val="008C0F9D"/>
    <w:rsid w:val="008C35CF"/>
    <w:rsid w:val="008F13ED"/>
    <w:rsid w:val="008F28D7"/>
    <w:rsid w:val="008F43CE"/>
    <w:rsid w:val="008F73FE"/>
    <w:rsid w:val="009024D2"/>
    <w:rsid w:val="00903079"/>
    <w:rsid w:val="00905C44"/>
    <w:rsid w:val="00916923"/>
    <w:rsid w:val="00937152"/>
    <w:rsid w:val="0094404C"/>
    <w:rsid w:val="0094552D"/>
    <w:rsid w:val="009627E7"/>
    <w:rsid w:val="00963E7B"/>
    <w:rsid w:val="0098115D"/>
    <w:rsid w:val="0099263B"/>
    <w:rsid w:val="00995235"/>
    <w:rsid w:val="009C0230"/>
    <w:rsid w:val="009C6E71"/>
    <w:rsid w:val="009E77D7"/>
    <w:rsid w:val="009F300C"/>
    <w:rsid w:val="009F64AB"/>
    <w:rsid w:val="00A2189B"/>
    <w:rsid w:val="00A41A84"/>
    <w:rsid w:val="00A43C47"/>
    <w:rsid w:val="00A47D09"/>
    <w:rsid w:val="00A541FC"/>
    <w:rsid w:val="00A624AC"/>
    <w:rsid w:val="00A6554C"/>
    <w:rsid w:val="00A6697D"/>
    <w:rsid w:val="00A73393"/>
    <w:rsid w:val="00A76E9D"/>
    <w:rsid w:val="00A77E7C"/>
    <w:rsid w:val="00A92C50"/>
    <w:rsid w:val="00AB4D39"/>
    <w:rsid w:val="00AD13B0"/>
    <w:rsid w:val="00AD39FE"/>
    <w:rsid w:val="00B03423"/>
    <w:rsid w:val="00B05D52"/>
    <w:rsid w:val="00B2153E"/>
    <w:rsid w:val="00B56224"/>
    <w:rsid w:val="00B71076"/>
    <w:rsid w:val="00B85081"/>
    <w:rsid w:val="00BB44BA"/>
    <w:rsid w:val="00BB690D"/>
    <w:rsid w:val="00BC21FB"/>
    <w:rsid w:val="00BE39B1"/>
    <w:rsid w:val="00BF31AD"/>
    <w:rsid w:val="00BF4903"/>
    <w:rsid w:val="00BF7927"/>
    <w:rsid w:val="00C013DE"/>
    <w:rsid w:val="00C20391"/>
    <w:rsid w:val="00C203D6"/>
    <w:rsid w:val="00C27B78"/>
    <w:rsid w:val="00C32A56"/>
    <w:rsid w:val="00C32FC0"/>
    <w:rsid w:val="00C36A81"/>
    <w:rsid w:val="00C4557B"/>
    <w:rsid w:val="00C50523"/>
    <w:rsid w:val="00C57187"/>
    <w:rsid w:val="00C60C26"/>
    <w:rsid w:val="00C64818"/>
    <w:rsid w:val="00C77607"/>
    <w:rsid w:val="00C939D7"/>
    <w:rsid w:val="00CA0472"/>
    <w:rsid w:val="00CA0DA8"/>
    <w:rsid w:val="00CA2351"/>
    <w:rsid w:val="00CA4FB8"/>
    <w:rsid w:val="00CA703B"/>
    <w:rsid w:val="00CB6E5A"/>
    <w:rsid w:val="00CE4845"/>
    <w:rsid w:val="00CE631A"/>
    <w:rsid w:val="00D12685"/>
    <w:rsid w:val="00D12D06"/>
    <w:rsid w:val="00D4236F"/>
    <w:rsid w:val="00DD5FCF"/>
    <w:rsid w:val="00DD7A83"/>
    <w:rsid w:val="00DE325D"/>
    <w:rsid w:val="00E07299"/>
    <w:rsid w:val="00E37FD8"/>
    <w:rsid w:val="00E4625F"/>
    <w:rsid w:val="00E502D6"/>
    <w:rsid w:val="00E544AD"/>
    <w:rsid w:val="00E63743"/>
    <w:rsid w:val="00E66667"/>
    <w:rsid w:val="00E75173"/>
    <w:rsid w:val="00EA66A6"/>
    <w:rsid w:val="00ED3957"/>
    <w:rsid w:val="00ED56C9"/>
    <w:rsid w:val="00EE469B"/>
    <w:rsid w:val="00EE6B0A"/>
    <w:rsid w:val="00EF285C"/>
    <w:rsid w:val="00F04662"/>
    <w:rsid w:val="00F04A6C"/>
    <w:rsid w:val="00F10ED7"/>
    <w:rsid w:val="00F31B3F"/>
    <w:rsid w:val="00F33A56"/>
    <w:rsid w:val="00F36AFA"/>
    <w:rsid w:val="00F4096F"/>
    <w:rsid w:val="00F5535E"/>
    <w:rsid w:val="00F60BAE"/>
    <w:rsid w:val="00F668DF"/>
    <w:rsid w:val="00F92911"/>
    <w:rsid w:val="00FA67F5"/>
    <w:rsid w:val="00FC02EB"/>
    <w:rsid w:val="00FE554B"/>
    <w:rsid w:val="00FF15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3C1BB3"/>
  <w15:chartTrackingRefBased/>
  <w15:docId w15:val="{603D0B8B-E08B-4B9D-8A8C-FFE8D241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076"/>
    <w:pPr>
      <w:keepNext/>
      <w:keepLines/>
      <w:numPr>
        <w:numId w:val="4"/>
      </w:numPr>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Heading2">
    <w:name w:val="heading 2"/>
    <w:basedOn w:val="Normal"/>
    <w:next w:val="Normal"/>
    <w:link w:val="Heading2Char"/>
    <w:uiPriority w:val="9"/>
    <w:unhideWhenUsed/>
    <w:qFormat/>
    <w:rsid w:val="00B71076"/>
    <w:pPr>
      <w:keepNext/>
      <w:keepLines/>
      <w:numPr>
        <w:ilvl w:val="1"/>
        <w:numId w:val="4"/>
      </w:numPr>
      <w:spacing w:before="200" w:after="240" w:line="276" w:lineRule="auto"/>
      <w:outlineLvl w:val="1"/>
    </w:pPr>
    <w:rPr>
      <w:rFonts w:asciiTheme="majorHAnsi" w:eastAsiaTheme="majorEastAsia" w:hAnsiTheme="majorHAnsi" w:cstheme="majorBidi"/>
      <w:b/>
      <w:bCs/>
      <w:color w:val="5B9BD5" w:themeColor="accent1"/>
      <w:sz w:val="26"/>
      <w:szCs w:val="26"/>
      <w:lang w:eastAsia="tr-TR"/>
    </w:rPr>
  </w:style>
  <w:style w:type="paragraph" w:styleId="Heading3">
    <w:name w:val="heading 3"/>
    <w:basedOn w:val="Normal"/>
    <w:next w:val="Normal"/>
    <w:link w:val="Heading3Char"/>
    <w:uiPriority w:val="9"/>
    <w:unhideWhenUsed/>
    <w:qFormat/>
    <w:rsid w:val="00B71076"/>
    <w:pPr>
      <w:keepNext/>
      <w:keepLines/>
      <w:numPr>
        <w:ilvl w:val="2"/>
        <w:numId w:val="4"/>
      </w:numPr>
      <w:spacing w:before="200" w:after="240" w:line="276" w:lineRule="auto"/>
      <w:outlineLvl w:val="2"/>
    </w:pPr>
    <w:rPr>
      <w:rFonts w:asciiTheme="majorHAnsi" w:eastAsiaTheme="majorEastAsia" w:hAnsiTheme="majorHAnsi" w:cstheme="majorBidi"/>
      <w:b/>
      <w:bCs/>
      <w:color w:val="5B9BD5" w:themeColor="accent1"/>
      <w:lang w:eastAsia="tr-TR"/>
    </w:rPr>
  </w:style>
  <w:style w:type="paragraph" w:styleId="Heading4">
    <w:name w:val="heading 4"/>
    <w:basedOn w:val="Normal"/>
    <w:next w:val="Normal"/>
    <w:link w:val="Heading4Char"/>
    <w:uiPriority w:val="9"/>
    <w:unhideWhenUsed/>
    <w:qFormat/>
    <w:rsid w:val="00313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71076"/>
    <w:pPr>
      <w:keepNext/>
      <w:keepLines/>
      <w:numPr>
        <w:ilvl w:val="4"/>
        <w:numId w:val="4"/>
      </w:numPr>
      <w:spacing w:before="200" w:after="0" w:line="276" w:lineRule="auto"/>
      <w:outlineLvl w:val="4"/>
    </w:pPr>
    <w:rPr>
      <w:rFonts w:asciiTheme="majorHAnsi" w:eastAsiaTheme="majorEastAsia" w:hAnsiTheme="majorHAnsi" w:cstheme="majorBidi"/>
      <w:color w:val="1F4D78" w:themeColor="accent1" w:themeShade="7F"/>
      <w:lang w:eastAsia="tr-TR"/>
    </w:rPr>
  </w:style>
  <w:style w:type="paragraph" w:styleId="Heading6">
    <w:name w:val="heading 6"/>
    <w:basedOn w:val="Normal"/>
    <w:next w:val="Normal"/>
    <w:link w:val="Heading6Char"/>
    <w:uiPriority w:val="9"/>
    <w:semiHidden/>
    <w:unhideWhenUsed/>
    <w:qFormat/>
    <w:rsid w:val="00B71076"/>
    <w:pPr>
      <w:keepNext/>
      <w:keepLines/>
      <w:numPr>
        <w:ilvl w:val="5"/>
        <w:numId w:val="4"/>
      </w:numPr>
      <w:spacing w:before="200" w:after="0" w:line="276" w:lineRule="auto"/>
      <w:outlineLvl w:val="5"/>
    </w:pPr>
    <w:rPr>
      <w:rFonts w:asciiTheme="majorHAnsi" w:eastAsiaTheme="majorEastAsia" w:hAnsiTheme="majorHAnsi" w:cstheme="majorBidi"/>
      <w:i/>
      <w:iCs/>
      <w:color w:val="1F4D78" w:themeColor="accent1" w:themeShade="7F"/>
      <w:lang w:eastAsia="tr-TR"/>
    </w:rPr>
  </w:style>
  <w:style w:type="paragraph" w:styleId="Heading7">
    <w:name w:val="heading 7"/>
    <w:basedOn w:val="Normal"/>
    <w:next w:val="Normal"/>
    <w:link w:val="Heading7Char"/>
    <w:uiPriority w:val="9"/>
    <w:semiHidden/>
    <w:unhideWhenUsed/>
    <w:qFormat/>
    <w:rsid w:val="00B71076"/>
    <w:pPr>
      <w:keepNext/>
      <w:keepLines/>
      <w:numPr>
        <w:ilvl w:val="6"/>
        <w:numId w:val="4"/>
      </w:numPr>
      <w:spacing w:before="200" w:after="0" w:line="276" w:lineRule="auto"/>
      <w:outlineLvl w:val="6"/>
    </w:pPr>
    <w:rPr>
      <w:rFonts w:asciiTheme="majorHAnsi" w:eastAsiaTheme="majorEastAsia" w:hAnsiTheme="majorHAnsi" w:cstheme="majorBidi"/>
      <w:i/>
      <w:iCs/>
      <w:color w:val="404040" w:themeColor="text1" w:themeTint="BF"/>
      <w:lang w:eastAsia="tr-TR"/>
    </w:rPr>
  </w:style>
  <w:style w:type="paragraph" w:styleId="Heading8">
    <w:name w:val="heading 8"/>
    <w:basedOn w:val="Normal"/>
    <w:next w:val="Normal"/>
    <w:link w:val="Heading8Char"/>
    <w:uiPriority w:val="9"/>
    <w:semiHidden/>
    <w:unhideWhenUsed/>
    <w:qFormat/>
    <w:rsid w:val="00B71076"/>
    <w:pPr>
      <w:keepNext/>
      <w:keepLines/>
      <w:numPr>
        <w:ilvl w:val="7"/>
        <w:numId w:val="4"/>
      </w:numPr>
      <w:spacing w:before="200" w:after="0" w:line="276" w:lineRule="auto"/>
      <w:outlineLvl w:val="7"/>
    </w:pPr>
    <w:rPr>
      <w:rFonts w:asciiTheme="majorHAnsi" w:eastAsiaTheme="majorEastAsia" w:hAnsiTheme="majorHAnsi" w:cstheme="majorBidi"/>
      <w:color w:val="404040" w:themeColor="text1" w:themeTint="BF"/>
      <w:sz w:val="20"/>
      <w:szCs w:val="20"/>
      <w:lang w:eastAsia="tr-TR"/>
    </w:rPr>
  </w:style>
  <w:style w:type="paragraph" w:styleId="Heading9">
    <w:name w:val="heading 9"/>
    <w:basedOn w:val="Normal"/>
    <w:next w:val="Normal"/>
    <w:link w:val="Heading9Char"/>
    <w:uiPriority w:val="9"/>
    <w:semiHidden/>
    <w:unhideWhenUsed/>
    <w:qFormat/>
    <w:rsid w:val="00B71076"/>
    <w:pPr>
      <w:keepNext/>
      <w:keepLines/>
      <w:numPr>
        <w:ilvl w:val="8"/>
        <w:numId w:val="4"/>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8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688F"/>
  </w:style>
  <w:style w:type="paragraph" w:styleId="Footer">
    <w:name w:val="footer"/>
    <w:basedOn w:val="Normal"/>
    <w:link w:val="FooterChar"/>
    <w:uiPriority w:val="99"/>
    <w:unhideWhenUsed/>
    <w:rsid w:val="007D68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688F"/>
  </w:style>
  <w:style w:type="table" w:styleId="TableGrid">
    <w:name w:val="Table Grid"/>
    <w:basedOn w:val="TableNormal"/>
    <w:uiPriority w:val="39"/>
    <w:rsid w:val="007D688F"/>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1076"/>
    <w:rPr>
      <w:rFonts w:asciiTheme="majorHAnsi" w:eastAsiaTheme="majorEastAsia" w:hAnsiTheme="majorHAnsi" w:cstheme="majorBidi"/>
      <w:b/>
      <w:bCs/>
      <w:color w:val="2E74B5" w:themeColor="accent1" w:themeShade="BF"/>
      <w:sz w:val="28"/>
      <w:szCs w:val="28"/>
      <w:lang w:eastAsia="tr-TR"/>
    </w:rPr>
  </w:style>
  <w:style w:type="character" w:customStyle="1" w:styleId="Heading2Char">
    <w:name w:val="Heading 2 Char"/>
    <w:basedOn w:val="DefaultParagraphFont"/>
    <w:link w:val="Heading2"/>
    <w:uiPriority w:val="9"/>
    <w:rsid w:val="00B71076"/>
    <w:rPr>
      <w:rFonts w:asciiTheme="majorHAnsi" w:eastAsiaTheme="majorEastAsia" w:hAnsiTheme="majorHAnsi" w:cstheme="majorBidi"/>
      <w:b/>
      <w:bCs/>
      <w:color w:val="5B9BD5" w:themeColor="accent1"/>
      <w:sz w:val="26"/>
      <w:szCs w:val="26"/>
      <w:lang w:eastAsia="tr-TR"/>
    </w:rPr>
  </w:style>
  <w:style w:type="character" w:customStyle="1" w:styleId="Heading3Char">
    <w:name w:val="Heading 3 Char"/>
    <w:basedOn w:val="DefaultParagraphFont"/>
    <w:link w:val="Heading3"/>
    <w:uiPriority w:val="9"/>
    <w:rsid w:val="00B71076"/>
    <w:rPr>
      <w:rFonts w:asciiTheme="majorHAnsi" w:eastAsiaTheme="majorEastAsia" w:hAnsiTheme="majorHAnsi" w:cstheme="majorBidi"/>
      <w:b/>
      <w:bCs/>
      <w:color w:val="5B9BD5" w:themeColor="accent1"/>
      <w:lang w:eastAsia="tr-TR"/>
    </w:rPr>
  </w:style>
  <w:style w:type="character" w:customStyle="1" w:styleId="Heading5Char">
    <w:name w:val="Heading 5 Char"/>
    <w:basedOn w:val="DefaultParagraphFont"/>
    <w:link w:val="Heading5"/>
    <w:uiPriority w:val="9"/>
    <w:rsid w:val="00B71076"/>
    <w:rPr>
      <w:rFonts w:asciiTheme="majorHAnsi" w:eastAsiaTheme="majorEastAsia" w:hAnsiTheme="majorHAnsi" w:cstheme="majorBidi"/>
      <w:color w:val="1F4D78" w:themeColor="accent1" w:themeShade="7F"/>
      <w:lang w:eastAsia="tr-TR"/>
    </w:rPr>
  </w:style>
  <w:style w:type="character" w:customStyle="1" w:styleId="Heading6Char">
    <w:name w:val="Heading 6 Char"/>
    <w:basedOn w:val="DefaultParagraphFont"/>
    <w:link w:val="Heading6"/>
    <w:uiPriority w:val="9"/>
    <w:semiHidden/>
    <w:rsid w:val="00B71076"/>
    <w:rPr>
      <w:rFonts w:asciiTheme="majorHAnsi" w:eastAsiaTheme="majorEastAsia" w:hAnsiTheme="majorHAnsi" w:cstheme="majorBidi"/>
      <w:i/>
      <w:iCs/>
      <w:color w:val="1F4D78" w:themeColor="accent1" w:themeShade="7F"/>
      <w:lang w:eastAsia="tr-TR"/>
    </w:rPr>
  </w:style>
  <w:style w:type="character" w:customStyle="1" w:styleId="Heading7Char">
    <w:name w:val="Heading 7 Char"/>
    <w:basedOn w:val="DefaultParagraphFont"/>
    <w:link w:val="Heading7"/>
    <w:uiPriority w:val="9"/>
    <w:semiHidden/>
    <w:rsid w:val="00B71076"/>
    <w:rPr>
      <w:rFonts w:asciiTheme="majorHAnsi" w:eastAsiaTheme="majorEastAsia" w:hAnsiTheme="majorHAnsi" w:cstheme="majorBidi"/>
      <w:i/>
      <w:iCs/>
      <w:color w:val="404040" w:themeColor="text1" w:themeTint="BF"/>
      <w:lang w:eastAsia="tr-TR"/>
    </w:rPr>
  </w:style>
  <w:style w:type="character" w:customStyle="1" w:styleId="Heading8Char">
    <w:name w:val="Heading 8 Char"/>
    <w:basedOn w:val="DefaultParagraphFont"/>
    <w:link w:val="Heading8"/>
    <w:uiPriority w:val="9"/>
    <w:semiHidden/>
    <w:rsid w:val="00B71076"/>
    <w:rPr>
      <w:rFonts w:asciiTheme="majorHAnsi" w:eastAsiaTheme="majorEastAsia" w:hAnsiTheme="majorHAnsi" w:cstheme="majorBidi"/>
      <w:color w:val="404040" w:themeColor="text1" w:themeTint="BF"/>
      <w:sz w:val="20"/>
      <w:szCs w:val="20"/>
      <w:lang w:eastAsia="tr-TR"/>
    </w:rPr>
  </w:style>
  <w:style w:type="character" w:customStyle="1" w:styleId="Heading9Char">
    <w:name w:val="Heading 9 Char"/>
    <w:basedOn w:val="DefaultParagraphFont"/>
    <w:link w:val="Heading9"/>
    <w:uiPriority w:val="9"/>
    <w:semiHidden/>
    <w:rsid w:val="00B71076"/>
    <w:rPr>
      <w:rFonts w:asciiTheme="majorHAnsi" w:eastAsiaTheme="majorEastAsia" w:hAnsiTheme="majorHAnsi" w:cstheme="majorBidi"/>
      <w:i/>
      <w:iCs/>
      <w:color w:val="404040" w:themeColor="text1" w:themeTint="BF"/>
      <w:sz w:val="20"/>
      <w:szCs w:val="20"/>
      <w:lang w:eastAsia="tr-TR"/>
    </w:rPr>
  </w:style>
  <w:style w:type="paragraph" w:styleId="BodyTextIndent">
    <w:name w:val="Body Text Indent"/>
    <w:basedOn w:val="Normal"/>
    <w:link w:val="BodyTextIndentChar"/>
    <w:uiPriority w:val="99"/>
    <w:unhideWhenUsed/>
    <w:rsid w:val="00C203D6"/>
    <w:pPr>
      <w:spacing w:after="120" w:line="240" w:lineRule="auto"/>
      <w:ind w:firstLine="720"/>
      <w:jc w:val="both"/>
    </w:pPr>
    <w:rPr>
      <w:rFonts w:ascii="Times New Roman" w:hAnsi="Times New Roman" w:cs="Times New Roman"/>
      <w:color w:val="000000"/>
      <w:sz w:val="24"/>
      <w:szCs w:val="24"/>
    </w:rPr>
  </w:style>
  <w:style w:type="character" w:customStyle="1" w:styleId="BodyTextIndentChar">
    <w:name w:val="Body Text Indent Char"/>
    <w:basedOn w:val="DefaultParagraphFont"/>
    <w:link w:val="BodyTextIndent"/>
    <w:uiPriority w:val="99"/>
    <w:rsid w:val="00C203D6"/>
    <w:rPr>
      <w:rFonts w:ascii="Times New Roman" w:hAnsi="Times New Roman" w:cs="Times New Roman"/>
      <w:color w:val="000000"/>
      <w:sz w:val="24"/>
      <w:szCs w:val="24"/>
    </w:rPr>
  </w:style>
  <w:style w:type="table" w:styleId="GridTable1Light-Accent5">
    <w:name w:val="Grid Table 1 Light Accent 5"/>
    <w:basedOn w:val="TableNormal"/>
    <w:uiPriority w:val="46"/>
    <w:rsid w:val="00C013D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13215"/>
    <w:pPr>
      <w:spacing w:after="200" w:line="240" w:lineRule="auto"/>
    </w:pPr>
    <w:rPr>
      <w:i/>
      <w:iCs/>
      <w:color w:val="44546A" w:themeColor="text2"/>
      <w:sz w:val="18"/>
      <w:szCs w:val="18"/>
    </w:rPr>
  </w:style>
  <w:style w:type="table" w:styleId="GridTable1Light-Accent1">
    <w:name w:val="Grid Table 1 Light Accent 1"/>
    <w:basedOn w:val="TableNormal"/>
    <w:uiPriority w:val="46"/>
    <w:rsid w:val="0031321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31321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07311A"/>
    <w:pPr>
      <w:ind w:left="720"/>
      <w:contextualSpacing/>
    </w:pPr>
  </w:style>
  <w:style w:type="paragraph" w:customStyle="1" w:styleId="Default">
    <w:name w:val="Default"/>
    <w:rsid w:val="0076633F"/>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A6554C"/>
    <w:pPr>
      <w:numPr>
        <w:numId w:val="0"/>
      </w:numPr>
      <w:spacing w:before="240" w:line="259" w:lineRule="auto"/>
      <w:outlineLvl w:val="9"/>
    </w:pPr>
    <w:rPr>
      <w:b w:val="0"/>
      <w:bCs w:val="0"/>
      <w:sz w:val="32"/>
      <w:szCs w:val="32"/>
    </w:rPr>
  </w:style>
  <w:style w:type="paragraph" w:styleId="TOC2">
    <w:name w:val="toc 2"/>
    <w:basedOn w:val="Normal"/>
    <w:next w:val="Normal"/>
    <w:autoRedefine/>
    <w:uiPriority w:val="39"/>
    <w:unhideWhenUsed/>
    <w:rsid w:val="00A6554C"/>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A6554C"/>
    <w:pPr>
      <w:spacing w:after="100"/>
    </w:pPr>
    <w:rPr>
      <w:rFonts w:eastAsiaTheme="minorEastAsia" w:cs="Times New Roman"/>
      <w:lang w:eastAsia="tr-TR"/>
    </w:rPr>
  </w:style>
  <w:style w:type="paragraph" w:styleId="TOC3">
    <w:name w:val="toc 3"/>
    <w:basedOn w:val="Normal"/>
    <w:next w:val="Normal"/>
    <w:autoRedefine/>
    <w:uiPriority w:val="39"/>
    <w:unhideWhenUsed/>
    <w:rsid w:val="00A6554C"/>
    <w:pPr>
      <w:spacing w:after="100"/>
      <w:ind w:left="440"/>
    </w:pPr>
    <w:rPr>
      <w:rFonts w:eastAsiaTheme="minorEastAsia" w:cs="Times New Roman"/>
      <w:lang w:eastAsia="tr-TR"/>
    </w:rPr>
  </w:style>
  <w:style w:type="character" w:styleId="Hyperlink">
    <w:name w:val="Hyperlink"/>
    <w:basedOn w:val="DefaultParagraphFont"/>
    <w:uiPriority w:val="99"/>
    <w:unhideWhenUsed/>
    <w:rsid w:val="00A6554C"/>
    <w:rPr>
      <w:color w:val="0563C1" w:themeColor="hyperlink"/>
      <w:u w:val="single"/>
    </w:rPr>
  </w:style>
  <w:style w:type="paragraph" w:styleId="TableofFigures">
    <w:name w:val="table of figures"/>
    <w:basedOn w:val="Normal"/>
    <w:next w:val="Normal"/>
    <w:uiPriority w:val="99"/>
    <w:unhideWhenUsed/>
    <w:rsid w:val="00A6554C"/>
    <w:pPr>
      <w:spacing w:after="0"/>
    </w:pPr>
    <w:rPr>
      <w:rFonts w:cstheme="minorHAnsi"/>
      <w:i/>
      <w:iCs/>
      <w:sz w:val="20"/>
      <w:szCs w:val="20"/>
    </w:rPr>
  </w:style>
  <w:style w:type="paragraph" w:styleId="NoSpacing">
    <w:name w:val="No Spacing"/>
    <w:link w:val="NoSpacingChar"/>
    <w:uiPriority w:val="1"/>
    <w:qFormat/>
    <w:rsid w:val="00D12685"/>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D12685"/>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8074">
      <w:bodyDiv w:val="1"/>
      <w:marLeft w:val="0"/>
      <w:marRight w:val="0"/>
      <w:marTop w:val="0"/>
      <w:marBottom w:val="0"/>
      <w:divBdr>
        <w:top w:val="none" w:sz="0" w:space="0" w:color="auto"/>
        <w:left w:val="none" w:sz="0" w:space="0" w:color="auto"/>
        <w:bottom w:val="none" w:sz="0" w:space="0" w:color="auto"/>
        <w:right w:val="none" w:sz="0" w:space="0" w:color="auto"/>
      </w:divBdr>
    </w:div>
    <w:div w:id="65957159">
      <w:bodyDiv w:val="1"/>
      <w:marLeft w:val="0"/>
      <w:marRight w:val="0"/>
      <w:marTop w:val="0"/>
      <w:marBottom w:val="0"/>
      <w:divBdr>
        <w:top w:val="none" w:sz="0" w:space="0" w:color="auto"/>
        <w:left w:val="none" w:sz="0" w:space="0" w:color="auto"/>
        <w:bottom w:val="none" w:sz="0" w:space="0" w:color="auto"/>
        <w:right w:val="none" w:sz="0" w:space="0" w:color="auto"/>
      </w:divBdr>
    </w:div>
    <w:div w:id="76753690">
      <w:bodyDiv w:val="1"/>
      <w:marLeft w:val="0"/>
      <w:marRight w:val="0"/>
      <w:marTop w:val="0"/>
      <w:marBottom w:val="0"/>
      <w:divBdr>
        <w:top w:val="none" w:sz="0" w:space="0" w:color="auto"/>
        <w:left w:val="none" w:sz="0" w:space="0" w:color="auto"/>
        <w:bottom w:val="none" w:sz="0" w:space="0" w:color="auto"/>
        <w:right w:val="none" w:sz="0" w:space="0" w:color="auto"/>
      </w:divBdr>
    </w:div>
    <w:div w:id="86579495">
      <w:bodyDiv w:val="1"/>
      <w:marLeft w:val="0"/>
      <w:marRight w:val="0"/>
      <w:marTop w:val="0"/>
      <w:marBottom w:val="0"/>
      <w:divBdr>
        <w:top w:val="none" w:sz="0" w:space="0" w:color="auto"/>
        <w:left w:val="none" w:sz="0" w:space="0" w:color="auto"/>
        <w:bottom w:val="none" w:sz="0" w:space="0" w:color="auto"/>
        <w:right w:val="none" w:sz="0" w:space="0" w:color="auto"/>
      </w:divBdr>
    </w:div>
    <w:div w:id="148179467">
      <w:bodyDiv w:val="1"/>
      <w:marLeft w:val="0"/>
      <w:marRight w:val="0"/>
      <w:marTop w:val="0"/>
      <w:marBottom w:val="0"/>
      <w:divBdr>
        <w:top w:val="none" w:sz="0" w:space="0" w:color="auto"/>
        <w:left w:val="none" w:sz="0" w:space="0" w:color="auto"/>
        <w:bottom w:val="none" w:sz="0" w:space="0" w:color="auto"/>
        <w:right w:val="none" w:sz="0" w:space="0" w:color="auto"/>
      </w:divBdr>
    </w:div>
    <w:div w:id="169679219">
      <w:bodyDiv w:val="1"/>
      <w:marLeft w:val="0"/>
      <w:marRight w:val="0"/>
      <w:marTop w:val="0"/>
      <w:marBottom w:val="0"/>
      <w:divBdr>
        <w:top w:val="none" w:sz="0" w:space="0" w:color="auto"/>
        <w:left w:val="none" w:sz="0" w:space="0" w:color="auto"/>
        <w:bottom w:val="none" w:sz="0" w:space="0" w:color="auto"/>
        <w:right w:val="none" w:sz="0" w:space="0" w:color="auto"/>
      </w:divBdr>
    </w:div>
    <w:div w:id="175265316">
      <w:bodyDiv w:val="1"/>
      <w:marLeft w:val="0"/>
      <w:marRight w:val="0"/>
      <w:marTop w:val="0"/>
      <w:marBottom w:val="0"/>
      <w:divBdr>
        <w:top w:val="none" w:sz="0" w:space="0" w:color="auto"/>
        <w:left w:val="none" w:sz="0" w:space="0" w:color="auto"/>
        <w:bottom w:val="none" w:sz="0" w:space="0" w:color="auto"/>
        <w:right w:val="none" w:sz="0" w:space="0" w:color="auto"/>
      </w:divBdr>
    </w:div>
    <w:div w:id="194126923">
      <w:bodyDiv w:val="1"/>
      <w:marLeft w:val="0"/>
      <w:marRight w:val="0"/>
      <w:marTop w:val="0"/>
      <w:marBottom w:val="0"/>
      <w:divBdr>
        <w:top w:val="none" w:sz="0" w:space="0" w:color="auto"/>
        <w:left w:val="none" w:sz="0" w:space="0" w:color="auto"/>
        <w:bottom w:val="none" w:sz="0" w:space="0" w:color="auto"/>
        <w:right w:val="none" w:sz="0" w:space="0" w:color="auto"/>
      </w:divBdr>
    </w:div>
    <w:div w:id="249701300">
      <w:bodyDiv w:val="1"/>
      <w:marLeft w:val="0"/>
      <w:marRight w:val="0"/>
      <w:marTop w:val="0"/>
      <w:marBottom w:val="0"/>
      <w:divBdr>
        <w:top w:val="none" w:sz="0" w:space="0" w:color="auto"/>
        <w:left w:val="none" w:sz="0" w:space="0" w:color="auto"/>
        <w:bottom w:val="none" w:sz="0" w:space="0" w:color="auto"/>
        <w:right w:val="none" w:sz="0" w:space="0" w:color="auto"/>
      </w:divBdr>
    </w:div>
    <w:div w:id="250630552">
      <w:bodyDiv w:val="1"/>
      <w:marLeft w:val="0"/>
      <w:marRight w:val="0"/>
      <w:marTop w:val="0"/>
      <w:marBottom w:val="0"/>
      <w:divBdr>
        <w:top w:val="none" w:sz="0" w:space="0" w:color="auto"/>
        <w:left w:val="none" w:sz="0" w:space="0" w:color="auto"/>
        <w:bottom w:val="none" w:sz="0" w:space="0" w:color="auto"/>
        <w:right w:val="none" w:sz="0" w:space="0" w:color="auto"/>
      </w:divBdr>
    </w:div>
    <w:div w:id="256407838">
      <w:bodyDiv w:val="1"/>
      <w:marLeft w:val="0"/>
      <w:marRight w:val="0"/>
      <w:marTop w:val="0"/>
      <w:marBottom w:val="0"/>
      <w:divBdr>
        <w:top w:val="none" w:sz="0" w:space="0" w:color="auto"/>
        <w:left w:val="none" w:sz="0" w:space="0" w:color="auto"/>
        <w:bottom w:val="none" w:sz="0" w:space="0" w:color="auto"/>
        <w:right w:val="none" w:sz="0" w:space="0" w:color="auto"/>
      </w:divBdr>
    </w:div>
    <w:div w:id="351536431">
      <w:bodyDiv w:val="1"/>
      <w:marLeft w:val="0"/>
      <w:marRight w:val="0"/>
      <w:marTop w:val="0"/>
      <w:marBottom w:val="0"/>
      <w:divBdr>
        <w:top w:val="none" w:sz="0" w:space="0" w:color="auto"/>
        <w:left w:val="none" w:sz="0" w:space="0" w:color="auto"/>
        <w:bottom w:val="none" w:sz="0" w:space="0" w:color="auto"/>
        <w:right w:val="none" w:sz="0" w:space="0" w:color="auto"/>
      </w:divBdr>
    </w:div>
    <w:div w:id="458888225">
      <w:bodyDiv w:val="1"/>
      <w:marLeft w:val="0"/>
      <w:marRight w:val="0"/>
      <w:marTop w:val="0"/>
      <w:marBottom w:val="0"/>
      <w:divBdr>
        <w:top w:val="none" w:sz="0" w:space="0" w:color="auto"/>
        <w:left w:val="none" w:sz="0" w:space="0" w:color="auto"/>
        <w:bottom w:val="none" w:sz="0" w:space="0" w:color="auto"/>
        <w:right w:val="none" w:sz="0" w:space="0" w:color="auto"/>
      </w:divBdr>
    </w:div>
    <w:div w:id="526482870">
      <w:bodyDiv w:val="1"/>
      <w:marLeft w:val="0"/>
      <w:marRight w:val="0"/>
      <w:marTop w:val="0"/>
      <w:marBottom w:val="0"/>
      <w:divBdr>
        <w:top w:val="none" w:sz="0" w:space="0" w:color="auto"/>
        <w:left w:val="none" w:sz="0" w:space="0" w:color="auto"/>
        <w:bottom w:val="none" w:sz="0" w:space="0" w:color="auto"/>
        <w:right w:val="none" w:sz="0" w:space="0" w:color="auto"/>
      </w:divBdr>
    </w:div>
    <w:div w:id="566653543">
      <w:bodyDiv w:val="1"/>
      <w:marLeft w:val="0"/>
      <w:marRight w:val="0"/>
      <w:marTop w:val="0"/>
      <w:marBottom w:val="0"/>
      <w:divBdr>
        <w:top w:val="none" w:sz="0" w:space="0" w:color="auto"/>
        <w:left w:val="none" w:sz="0" w:space="0" w:color="auto"/>
        <w:bottom w:val="none" w:sz="0" w:space="0" w:color="auto"/>
        <w:right w:val="none" w:sz="0" w:space="0" w:color="auto"/>
      </w:divBdr>
    </w:div>
    <w:div w:id="611671824">
      <w:bodyDiv w:val="1"/>
      <w:marLeft w:val="0"/>
      <w:marRight w:val="0"/>
      <w:marTop w:val="0"/>
      <w:marBottom w:val="0"/>
      <w:divBdr>
        <w:top w:val="none" w:sz="0" w:space="0" w:color="auto"/>
        <w:left w:val="none" w:sz="0" w:space="0" w:color="auto"/>
        <w:bottom w:val="none" w:sz="0" w:space="0" w:color="auto"/>
        <w:right w:val="none" w:sz="0" w:space="0" w:color="auto"/>
      </w:divBdr>
    </w:div>
    <w:div w:id="644941381">
      <w:bodyDiv w:val="1"/>
      <w:marLeft w:val="0"/>
      <w:marRight w:val="0"/>
      <w:marTop w:val="0"/>
      <w:marBottom w:val="0"/>
      <w:divBdr>
        <w:top w:val="none" w:sz="0" w:space="0" w:color="auto"/>
        <w:left w:val="none" w:sz="0" w:space="0" w:color="auto"/>
        <w:bottom w:val="none" w:sz="0" w:space="0" w:color="auto"/>
        <w:right w:val="none" w:sz="0" w:space="0" w:color="auto"/>
      </w:divBdr>
    </w:div>
    <w:div w:id="668604985">
      <w:bodyDiv w:val="1"/>
      <w:marLeft w:val="0"/>
      <w:marRight w:val="0"/>
      <w:marTop w:val="0"/>
      <w:marBottom w:val="0"/>
      <w:divBdr>
        <w:top w:val="none" w:sz="0" w:space="0" w:color="auto"/>
        <w:left w:val="none" w:sz="0" w:space="0" w:color="auto"/>
        <w:bottom w:val="none" w:sz="0" w:space="0" w:color="auto"/>
        <w:right w:val="none" w:sz="0" w:space="0" w:color="auto"/>
      </w:divBdr>
    </w:div>
    <w:div w:id="689189011">
      <w:bodyDiv w:val="1"/>
      <w:marLeft w:val="0"/>
      <w:marRight w:val="0"/>
      <w:marTop w:val="0"/>
      <w:marBottom w:val="0"/>
      <w:divBdr>
        <w:top w:val="none" w:sz="0" w:space="0" w:color="auto"/>
        <w:left w:val="none" w:sz="0" w:space="0" w:color="auto"/>
        <w:bottom w:val="none" w:sz="0" w:space="0" w:color="auto"/>
        <w:right w:val="none" w:sz="0" w:space="0" w:color="auto"/>
      </w:divBdr>
    </w:div>
    <w:div w:id="740785751">
      <w:bodyDiv w:val="1"/>
      <w:marLeft w:val="0"/>
      <w:marRight w:val="0"/>
      <w:marTop w:val="0"/>
      <w:marBottom w:val="0"/>
      <w:divBdr>
        <w:top w:val="none" w:sz="0" w:space="0" w:color="auto"/>
        <w:left w:val="none" w:sz="0" w:space="0" w:color="auto"/>
        <w:bottom w:val="none" w:sz="0" w:space="0" w:color="auto"/>
        <w:right w:val="none" w:sz="0" w:space="0" w:color="auto"/>
      </w:divBdr>
    </w:div>
    <w:div w:id="775754208">
      <w:bodyDiv w:val="1"/>
      <w:marLeft w:val="0"/>
      <w:marRight w:val="0"/>
      <w:marTop w:val="0"/>
      <w:marBottom w:val="0"/>
      <w:divBdr>
        <w:top w:val="none" w:sz="0" w:space="0" w:color="auto"/>
        <w:left w:val="none" w:sz="0" w:space="0" w:color="auto"/>
        <w:bottom w:val="none" w:sz="0" w:space="0" w:color="auto"/>
        <w:right w:val="none" w:sz="0" w:space="0" w:color="auto"/>
      </w:divBdr>
    </w:div>
    <w:div w:id="794833647">
      <w:bodyDiv w:val="1"/>
      <w:marLeft w:val="0"/>
      <w:marRight w:val="0"/>
      <w:marTop w:val="0"/>
      <w:marBottom w:val="0"/>
      <w:divBdr>
        <w:top w:val="none" w:sz="0" w:space="0" w:color="auto"/>
        <w:left w:val="none" w:sz="0" w:space="0" w:color="auto"/>
        <w:bottom w:val="none" w:sz="0" w:space="0" w:color="auto"/>
        <w:right w:val="none" w:sz="0" w:space="0" w:color="auto"/>
      </w:divBdr>
    </w:div>
    <w:div w:id="1019938240">
      <w:bodyDiv w:val="1"/>
      <w:marLeft w:val="0"/>
      <w:marRight w:val="0"/>
      <w:marTop w:val="0"/>
      <w:marBottom w:val="0"/>
      <w:divBdr>
        <w:top w:val="none" w:sz="0" w:space="0" w:color="auto"/>
        <w:left w:val="none" w:sz="0" w:space="0" w:color="auto"/>
        <w:bottom w:val="none" w:sz="0" w:space="0" w:color="auto"/>
        <w:right w:val="none" w:sz="0" w:space="0" w:color="auto"/>
      </w:divBdr>
    </w:div>
    <w:div w:id="1044405683">
      <w:bodyDiv w:val="1"/>
      <w:marLeft w:val="0"/>
      <w:marRight w:val="0"/>
      <w:marTop w:val="0"/>
      <w:marBottom w:val="0"/>
      <w:divBdr>
        <w:top w:val="none" w:sz="0" w:space="0" w:color="auto"/>
        <w:left w:val="none" w:sz="0" w:space="0" w:color="auto"/>
        <w:bottom w:val="none" w:sz="0" w:space="0" w:color="auto"/>
        <w:right w:val="none" w:sz="0" w:space="0" w:color="auto"/>
      </w:divBdr>
    </w:div>
    <w:div w:id="1059937559">
      <w:bodyDiv w:val="1"/>
      <w:marLeft w:val="0"/>
      <w:marRight w:val="0"/>
      <w:marTop w:val="0"/>
      <w:marBottom w:val="0"/>
      <w:divBdr>
        <w:top w:val="none" w:sz="0" w:space="0" w:color="auto"/>
        <w:left w:val="none" w:sz="0" w:space="0" w:color="auto"/>
        <w:bottom w:val="none" w:sz="0" w:space="0" w:color="auto"/>
        <w:right w:val="none" w:sz="0" w:space="0" w:color="auto"/>
      </w:divBdr>
    </w:div>
    <w:div w:id="1205603938">
      <w:bodyDiv w:val="1"/>
      <w:marLeft w:val="0"/>
      <w:marRight w:val="0"/>
      <w:marTop w:val="0"/>
      <w:marBottom w:val="0"/>
      <w:divBdr>
        <w:top w:val="none" w:sz="0" w:space="0" w:color="auto"/>
        <w:left w:val="none" w:sz="0" w:space="0" w:color="auto"/>
        <w:bottom w:val="none" w:sz="0" w:space="0" w:color="auto"/>
        <w:right w:val="none" w:sz="0" w:space="0" w:color="auto"/>
      </w:divBdr>
    </w:div>
    <w:div w:id="1218324958">
      <w:bodyDiv w:val="1"/>
      <w:marLeft w:val="0"/>
      <w:marRight w:val="0"/>
      <w:marTop w:val="0"/>
      <w:marBottom w:val="0"/>
      <w:divBdr>
        <w:top w:val="none" w:sz="0" w:space="0" w:color="auto"/>
        <w:left w:val="none" w:sz="0" w:space="0" w:color="auto"/>
        <w:bottom w:val="none" w:sz="0" w:space="0" w:color="auto"/>
        <w:right w:val="none" w:sz="0" w:space="0" w:color="auto"/>
      </w:divBdr>
    </w:div>
    <w:div w:id="1225994570">
      <w:bodyDiv w:val="1"/>
      <w:marLeft w:val="0"/>
      <w:marRight w:val="0"/>
      <w:marTop w:val="0"/>
      <w:marBottom w:val="0"/>
      <w:divBdr>
        <w:top w:val="none" w:sz="0" w:space="0" w:color="auto"/>
        <w:left w:val="none" w:sz="0" w:space="0" w:color="auto"/>
        <w:bottom w:val="none" w:sz="0" w:space="0" w:color="auto"/>
        <w:right w:val="none" w:sz="0" w:space="0" w:color="auto"/>
      </w:divBdr>
    </w:div>
    <w:div w:id="1333724920">
      <w:bodyDiv w:val="1"/>
      <w:marLeft w:val="0"/>
      <w:marRight w:val="0"/>
      <w:marTop w:val="0"/>
      <w:marBottom w:val="0"/>
      <w:divBdr>
        <w:top w:val="none" w:sz="0" w:space="0" w:color="auto"/>
        <w:left w:val="none" w:sz="0" w:space="0" w:color="auto"/>
        <w:bottom w:val="none" w:sz="0" w:space="0" w:color="auto"/>
        <w:right w:val="none" w:sz="0" w:space="0" w:color="auto"/>
      </w:divBdr>
    </w:div>
    <w:div w:id="1340816345">
      <w:bodyDiv w:val="1"/>
      <w:marLeft w:val="0"/>
      <w:marRight w:val="0"/>
      <w:marTop w:val="0"/>
      <w:marBottom w:val="0"/>
      <w:divBdr>
        <w:top w:val="none" w:sz="0" w:space="0" w:color="auto"/>
        <w:left w:val="none" w:sz="0" w:space="0" w:color="auto"/>
        <w:bottom w:val="none" w:sz="0" w:space="0" w:color="auto"/>
        <w:right w:val="none" w:sz="0" w:space="0" w:color="auto"/>
      </w:divBdr>
    </w:div>
    <w:div w:id="1399013849">
      <w:bodyDiv w:val="1"/>
      <w:marLeft w:val="0"/>
      <w:marRight w:val="0"/>
      <w:marTop w:val="0"/>
      <w:marBottom w:val="0"/>
      <w:divBdr>
        <w:top w:val="none" w:sz="0" w:space="0" w:color="auto"/>
        <w:left w:val="none" w:sz="0" w:space="0" w:color="auto"/>
        <w:bottom w:val="none" w:sz="0" w:space="0" w:color="auto"/>
        <w:right w:val="none" w:sz="0" w:space="0" w:color="auto"/>
      </w:divBdr>
    </w:div>
    <w:div w:id="1420060436">
      <w:bodyDiv w:val="1"/>
      <w:marLeft w:val="0"/>
      <w:marRight w:val="0"/>
      <w:marTop w:val="0"/>
      <w:marBottom w:val="0"/>
      <w:divBdr>
        <w:top w:val="none" w:sz="0" w:space="0" w:color="auto"/>
        <w:left w:val="none" w:sz="0" w:space="0" w:color="auto"/>
        <w:bottom w:val="none" w:sz="0" w:space="0" w:color="auto"/>
        <w:right w:val="none" w:sz="0" w:space="0" w:color="auto"/>
      </w:divBdr>
    </w:div>
    <w:div w:id="1450902261">
      <w:bodyDiv w:val="1"/>
      <w:marLeft w:val="0"/>
      <w:marRight w:val="0"/>
      <w:marTop w:val="0"/>
      <w:marBottom w:val="0"/>
      <w:divBdr>
        <w:top w:val="none" w:sz="0" w:space="0" w:color="auto"/>
        <w:left w:val="none" w:sz="0" w:space="0" w:color="auto"/>
        <w:bottom w:val="none" w:sz="0" w:space="0" w:color="auto"/>
        <w:right w:val="none" w:sz="0" w:space="0" w:color="auto"/>
      </w:divBdr>
    </w:div>
    <w:div w:id="1515656940">
      <w:bodyDiv w:val="1"/>
      <w:marLeft w:val="0"/>
      <w:marRight w:val="0"/>
      <w:marTop w:val="0"/>
      <w:marBottom w:val="0"/>
      <w:divBdr>
        <w:top w:val="none" w:sz="0" w:space="0" w:color="auto"/>
        <w:left w:val="none" w:sz="0" w:space="0" w:color="auto"/>
        <w:bottom w:val="none" w:sz="0" w:space="0" w:color="auto"/>
        <w:right w:val="none" w:sz="0" w:space="0" w:color="auto"/>
      </w:divBdr>
    </w:div>
    <w:div w:id="1561014487">
      <w:bodyDiv w:val="1"/>
      <w:marLeft w:val="0"/>
      <w:marRight w:val="0"/>
      <w:marTop w:val="0"/>
      <w:marBottom w:val="0"/>
      <w:divBdr>
        <w:top w:val="none" w:sz="0" w:space="0" w:color="auto"/>
        <w:left w:val="none" w:sz="0" w:space="0" w:color="auto"/>
        <w:bottom w:val="none" w:sz="0" w:space="0" w:color="auto"/>
        <w:right w:val="none" w:sz="0" w:space="0" w:color="auto"/>
      </w:divBdr>
    </w:div>
    <w:div w:id="1688407880">
      <w:bodyDiv w:val="1"/>
      <w:marLeft w:val="0"/>
      <w:marRight w:val="0"/>
      <w:marTop w:val="0"/>
      <w:marBottom w:val="0"/>
      <w:divBdr>
        <w:top w:val="none" w:sz="0" w:space="0" w:color="auto"/>
        <w:left w:val="none" w:sz="0" w:space="0" w:color="auto"/>
        <w:bottom w:val="none" w:sz="0" w:space="0" w:color="auto"/>
        <w:right w:val="none" w:sz="0" w:space="0" w:color="auto"/>
      </w:divBdr>
    </w:div>
    <w:div w:id="1736929048">
      <w:bodyDiv w:val="1"/>
      <w:marLeft w:val="0"/>
      <w:marRight w:val="0"/>
      <w:marTop w:val="0"/>
      <w:marBottom w:val="0"/>
      <w:divBdr>
        <w:top w:val="none" w:sz="0" w:space="0" w:color="auto"/>
        <w:left w:val="none" w:sz="0" w:space="0" w:color="auto"/>
        <w:bottom w:val="none" w:sz="0" w:space="0" w:color="auto"/>
        <w:right w:val="none" w:sz="0" w:space="0" w:color="auto"/>
      </w:divBdr>
    </w:div>
    <w:div w:id="1765883402">
      <w:bodyDiv w:val="1"/>
      <w:marLeft w:val="0"/>
      <w:marRight w:val="0"/>
      <w:marTop w:val="0"/>
      <w:marBottom w:val="0"/>
      <w:divBdr>
        <w:top w:val="none" w:sz="0" w:space="0" w:color="auto"/>
        <w:left w:val="none" w:sz="0" w:space="0" w:color="auto"/>
        <w:bottom w:val="none" w:sz="0" w:space="0" w:color="auto"/>
        <w:right w:val="none" w:sz="0" w:space="0" w:color="auto"/>
      </w:divBdr>
    </w:div>
    <w:div w:id="1779904662">
      <w:bodyDiv w:val="1"/>
      <w:marLeft w:val="0"/>
      <w:marRight w:val="0"/>
      <w:marTop w:val="0"/>
      <w:marBottom w:val="0"/>
      <w:divBdr>
        <w:top w:val="none" w:sz="0" w:space="0" w:color="auto"/>
        <w:left w:val="none" w:sz="0" w:space="0" w:color="auto"/>
        <w:bottom w:val="none" w:sz="0" w:space="0" w:color="auto"/>
        <w:right w:val="none" w:sz="0" w:space="0" w:color="auto"/>
      </w:divBdr>
    </w:div>
    <w:div w:id="1786387959">
      <w:bodyDiv w:val="1"/>
      <w:marLeft w:val="0"/>
      <w:marRight w:val="0"/>
      <w:marTop w:val="0"/>
      <w:marBottom w:val="0"/>
      <w:divBdr>
        <w:top w:val="none" w:sz="0" w:space="0" w:color="auto"/>
        <w:left w:val="none" w:sz="0" w:space="0" w:color="auto"/>
        <w:bottom w:val="none" w:sz="0" w:space="0" w:color="auto"/>
        <w:right w:val="none" w:sz="0" w:space="0" w:color="auto"/>
      </w:divBdr>
    </w:div>
    <w:div w:id="1827624499">
      <w:bodyDiv w:val="1"/>
      <w:marLeft w:val="0"/>
      <w:marRight w:val="0"/>
      <w:marTop w:val="0"/>
      <w:marBottom w:val="0"/>
      <w:divBdr>
        <w:top w:val="none" w:sz="0" w:space="0" w:color="auto"/>
        <w:left w:val="none" w:sz="0" w:space="0" w:color="auto"/>
        <w:bottom w:val="none" w:sz="0" w:space="0" w:color="auto"/>
        <w:right w:val="none" w:sz="0" w:space="0" w:color="auto"/>
      </w:divBdr>
    </w:div>
    <w:div w:id="1847940807">
      <w:bodyDiv w:val="1"/>
      <w:marLeft w:val="0"/>
      <w:marRight w:val="0"/>
      <w:marTop w:val="0"/>
      <w:marBottom w:val="0"/>
      <w:divBdr>
        <w:top w:val="none" w:sz="0" w:space="0" w:color="auto"/>
        <w:left w:val="none" w:sz="0" w:space="0" w:color="auto"/>
        <w:bottom w:val="none" w:sz="0" w:space="0" w:color="auto"/>
        <w:right w:val="none" w:sz="0" w:space="0" w:color="auto"/>
      </w:divBdr>
    </w:div>
    <w:div w:id="1922057386">
      <w:bodyDiv w:val="1"/>
      <w:marLeft w:val="0"/>
      <w:marRight w:val="0"/>
      <w:marTop w:val="0"/>
      <w:marBottom w:val="0"/>
      <w:divBdr>
        <w:top w:val="none" w:sz="0" w:space="0" w:color="auto"/>
        <w:left w:val="none" w:sz="0" w:space="0" w:color="auto"/>
        <w:bottom w:val="none" w:sz="0" w:space="0" w:color="auto"/>
        <w:right w:val="none" w:sz="0" w:space="0" w:color="auto"/>
      </w:divBdr>
    </w:div>
    <w:div w:id="1954510550">
      <w:bodyDiv w:val="1"/>
      <w:marLeft w:val="0"/>
      <w:marRight w:val="0"/>
      <w:marTop w:val="0"/>
      <w:marBottom w:val="0"/>
      <w:divBdr>
        <w:top w:val="none" w:sz="0" w:space="0" w:color="auto"/>
        <w:left w:val="none" w:sz="0" w:space="0" w:color="auto"/>
        <w:bottom w:val="none" w:sz="0" w:space="0" w:color="auto"/>
        <w:right w:val="none" w:sz="0" w:space="0" w:color="auto"/>
      </w:divBdr>
    </w:div>
    <w:div w:id="1978602683">
      <w:bodyDiv w:val="1"/>
      <w:marLeft w:val="0"/>
      <w:marRight w:val="0"/>
      <w:marTop w:val="0"/>
      <w:marBottom w:val="0"/>
      <w:divBdr>
        <w:top w:val="none" w:sz="0" w:space="0" w:color="auto"/>
        <w:left w:val="none" w:sz="0" w:space="0" w:color="auto"/>
        <w:bottom w:val="none" w:sz="0" w:space="0" w:color="auto"/>
        <w:right w:val="none" w:sz="0" w:space="0" w:color="auto"/>
      </w:divBdr>
    </w:div>
    <w:div w:id="2066681123">
      <w:bodyDiv w:val="1"/>
      <w:marLeft w:val="0"/>
      <w:marRight w:val="0"/>
      <w:marTop w:val="0"/>
      <w:marBottom w:val="0"/>
      <w:divBdr>
        <w:top w:val="none" w:sz="0" w:space="0" w:color="auto"/>
        <w:left w:val="none" w:sz="0" w:space="0" w:color="auto"/>
        <w:bottom w:val="none" w:sz="0" w:space="0" w:color="auto"/>
        <w:right w:val="none" w:sz="0" w:space="0" w:color="auto"/>
      </w:divBdr>
    </w:div>
    <w:div w:id="21357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2E12A18C304450A93CDE88B8FE3CFA"/>
        <w:category>
          <w:name w:val="Genel"/>
          <w:gallery w:val="placeholder"/>
        </w:category>
        <w:types>
          <w:type w:val="bbPlcHdr"/>
        </w:types>
        <w:behaviors>
          <w:behavior w:val="content"/>
        </w:behaviors>
        <w:guid w:val="{7C65476F-B886-407B-AC81-1E36506526B9}"/>
      </w:docPartPr>
      <w:docPartBody>
        <w:p w:rsidR="002C5321" w:rsidRDefault="003930B4" w:rsidP="003930B4">
          <w:pPr>
            <w:pStyle w:val="C12E12A18C304450A93CDE88B8FE3CFA"/>
          </w:pPr>
          <w:r>
            <w:rPr>
              <w:rFonts w:asciiTheme="majorHAnsi" w:eastAsiaTheme="majorEastAsia" w:hAnsiTheme="majorHAnsi" w:cstheme="majorBidi"/>
              <w:caps/>
              <w:color w:val="5B9BD5" w:themeColor="accent1"/>
              <w:sz w:val="80"/>
              <w:szCs w:val="80"/>
            </w:rPr>
            <w:t>[Belge başlığı]</w:t>
          </w:r>
        </w:p>
      </w:docPartBody>
    </w:docPart>
    <w:docPart>
      <w:docPartPr>
        <w:name w:val="9E3F0DA2854F49EB9DD90CCFC3544023"/>
        <w:category>
          <w:name w:val="Genel"/>
          <w:gallery w:val="placeholder"/>
        </w:category>
        <w:types>
          <w:type w:val="bbPlcHdr"/>
        </w:types>
        <w:behaviors>
          <w:behavior w:val="content"/>
        </w:behaviors>
        <w:guid w:val="{422B0AB4-2C5A-41FB-AAA9-23F641C25F03}"/>
      </w:docPartPr>
      <w:docPartBody>
        <w:p w:rsidR="002C5321" w:rsidRDefault="003930B4" w:rsidP="003930B4">
          <w:pPr>
            <w:pStyle w:val="9E3F0DA2854F49EB9DD90CCFC3544023"/>
          </w:pPr>
          <w:r>
            <w:rPr>
              <w:color w:val="5B9BD5"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B4"/>
    <w:rsid w:val="000F4B8E"/>
    <w:rsid w:val="001061C1"/>
    <w:rsid w:val="002C5321"/>
    <w:rsid w:val="003930B4"/>
    <w:rsid w:val="004842B1"/>
    <w:rsid w:val="00587089"/>
    <w:rsid w:val="006A25BA"/>
    <w:rsid w:val="00786AFE"/>
    <w:rsid w:val="007B02C1"/>
    <w:rsid w:val="007E0959"/>
    <w:rsid w:val="00871140"/>
    <w:rsid w:val="00A32EEE"/>
    <w:rsid w:val="00B5697B"/>
    <w:rsid w:val="00E9536C"/>
    <w:rsid w:val="00FA1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E12A18C304450A93CDE88B8FE3CFA">
    <w:name w:val="C12E12A18C304450A93CDE88B8FE3CFA"/>
    <w:rsid w:val="003930B4"/>
  </w:style>
  <w:style w:type="paragraph" w:customStyle="1" w:styleId="9E3F0DA2854F49EB9DD90CCFC3544023">
    <w:name w:val="9E3F0DA2854F49EB9DD90CCFC3544023"/>
    <w:rsid w:val="00393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HNpbmFuLmFraW5jaTwvVXNlck5hbWU+PERhdGVUaW1lPjExLjAzLjIwMjIgMDg6MzU6MTg8L0RhdGVUaW1lPjxMYWJlbFN0cmluZz5UYXNuaWYgRCYjeDEzMTsmI3gxNUY7JiN4MTMxOy1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2149-8B44-4D9D-82DB-4D9EFEFF27E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F099EE0-E04D-4030-8905-FEC2B356263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EC46D68-7EDF-471E-9B8C-77CB96E8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3232</Words>
  <Characters>18424</Characters>
  <Application>Microsoft Office Word</Application>
  <DocSecurity>0</DocSecurity>
  <Lines>153</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VADELİ ELEKTRİK PİYASASI</vt:lpstr>
      <vt:lpstr>VADELİ ELEKTRİK PİYASASI</vt:lpstr>
    </vt:vector>
  </TitlesOfParts>
  <Company>eNERJİ PİYASALARI İŞLETME ANONİM ŞİRKETİ</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VADELİ ELEKTRİK PİYASASI</dc:title>
  <dc:subject>Piyasa ve Katılımcı Pozisyon Limitleri Hesaplama Metodolojisi</dc:subject>
  <dc:creator>ENERJİ PİYASALARI İŞLETME</dc:creator>
  <cp:keywords>Tasnif Dışı / Kişisel Veri içermez</cp:keywords>
  <dc:description/>
  <cp:lastModifiedBy>Yusuf Sinan Akıncı</cp:lastModifiedBy>
  <cp:revision>5</cp:revision>
  <cp:lastPrinted>2021-10-14T07:09:00Z</cp:lastPrinted>
  <dcterms:created xsi:type="dcterms:W3CDTF">2022-04-08T12:43:00Z</dcterms:created>
  <dcterms:modified xsi:type="dcterms:W3CDTF">2022-04-28T12:22:00Z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f7a9ffb8-2c80-45d4-8bfa-dd8868a8f3c3</vt:lpwstr>
  </property>
  <property fmtid="{D5CDD505-2E9C-101B-9397-08002B2CF9AE}" pid="3" name="bjSaver">
    <vt:lpwstr>OZydPrhnyZ+tpvpKJWwZ1XHkfJ1rSXFl</vt:lpwstr>
  </property>
  <property fmtid="{D5CDD505-2E9C-101B-9397-08002B2CF9AE}" pid="4" name="bjDocumentSecurityLabel">
    <vt:lpwstr>Tasnif Dışı-Kişisel Veri içermez</vt:lpwstr>
  </property>
  <property fmtid="{D5CDD505-2E9C-101B-9397-08002B2CF9AE}" pid="5"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6" name="bjDocumentLabelXML-0">
    <vt:lpwstr>ames.com/2008/01/sie/internal/label"&gt;&lt;element uid="id_classification_nonbusiness" value="" /&gt;&lt;element uid="33d0dd8f-6291-44e9-90e9-e93e9e40d7e9" value="" /&gt;&lt;/sisl&gt;</vt:lpwstr>
  </property>
  <property fmtid="{D5CDD505-2E9C-101B-9397-08002B2CF9AE}" pid="7" name="bjLabelHistoryID">
    <vt:lpwstr>{256C2149-8B44-4D9D-82DB-4D9EFEFF27EE}</vt:lpwstr>
  </property>
</Properties>
</file>