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89" w:rsidRPr="00F4291C" w:rsidRDefault="008D5A11" w:rsidP="008D5A11">
      <w:pPr>
        <w:pStyle w:val="Heading3"/>
        <w:numPr>
          <w:ilvl w:val="0"/>
          <w:numId w:val="0"/>
        </w:numPr>
        <w:spacing w:after="160"/>
        <w:rPr>
          <w:rFonts w:cstheme="majorHAnsi"/>
          <w:lang w:val="en-GB"/>
        </w:rPr>
      </w:pPr>
      <w:bookmarkStart w:id="0" w:name="_Toc25763443"/>
      <w:bookmarkStart w:id="1" w:name="_Toc30075382"/>
      <w:r w:rsidRPr="00F4291C">
        <w:rPr>
          <w:rFonts w:cstheme="majorHAnsi"/>
          <w:lang w:val="en-GB"/>
        </w:rPr>
        <w:t xml:space="preserve">Quarterly Base Load Electricity Contract </w:t>
      </w:r>
      <w:bookmarkEnd w:id="0"/>
      <w:bookmarkEnd w:id="1"/>
      <w:r w:rsidR="00361690">
        <w:rPr>
          <w:rFonts w:cstheme="majorHAnsi"/>
          <w:lang w:val="en-GB"/>
        </w:rPr>
        <w:t xml:space="preserve"> </w:t>
      </w:r>
    </w:p>
    <w:tbl>
      <w:tblPr>
        <w:tblStyle w:val="GridTable1Light-Accent51"/>
        <w:tblW w:w="9175" w:type="dxa"/>
        <w:tblLook w:val="04A0" w:firstRow="1" w:lastRow="0" w:firstColumn="1" w:lastColumn="0" w:noHBand="0" w:noVBand="1"/>
      </w:tblPr>
      <w:tblGrid>
        <w:gridCol w:w="2502"/>
        <w:gridCol w:w="6673"/>
      </w:tblGrid>
      <w:tr w:rsidR="00DD6389" w:rsidRPr="00F4291C" w:rsidTr="00A62179">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502" w:type="dxa"/>
            <w:shd w:val="clear" w:color="auto" w:fill="DEEAF6" w:themeFill="accent1" w:themeFillTint="33"/>
          </w:tcPr>
          <w:p w:rsidR="00DD6389" w:rsidRPr="00F4291C" w:rsidRDefault="00E3599D" w:rsidP="00A62179">
            <w:pPr>
              <w:spacing w:after="160" w:line="276" w:lineRule="auto"/>
              <w:jc w:val="both"/>
              <w:rPr>
                <w:rFonts w:cstheme="minorHAnsi"/>
                <w:sz w:val="18"/>
                <w:szCs w:val="20"/>
                <w:lang w:val="en-GB"/>
              </w:rPr>
            </w:pPr>
            <w:r w:rsidRPr="00F4291C">
              <w:rPr>
                <w:rFonts w:cstheme="minorHAnsi"/>
                <w:sz w:val="18"/>
                <w:szCs w:val="20"/>
                <w:lang w:val="en-GB"/>
              </w:rPr>
              <w:t xml:space="preserve">Contract Item </w:t>
            </w:r>
          </w:p>
        </w:tc>
        <w:tc>
          <w:tcPr>
            <w:tcW w:w="6673" w:type="dxa"/>
            <w:shd w:val="clear" w:color="auto" w:fill="DEEAF6" w:themeFill="accent1" w:themeFillTint="33"/>
          </w:tcPr>
          <w:p w:rsidR="00DD6389" w:rsidRPr="00F4291C" w:rsidRDefault="00E3599D" w:rsidP="00A62179">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Explanation </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E3599D" w:rsidP="00E3599D">
            <w:pPr>
              <w:spacing w:after="160" w:line="276" w:lineRule="auto"/>
              <w:jc w:val="both"/>
              <w:rPr>
                <w:rFonts w:cstheme="minorHAnsi"/>
                <w:sz w:val="18"/>
                <w:szCs w:val="20"/>
                <w:lang w:val="en-GB"/>
              </w:rPr>
            </w:pPr>
            <w:r w:rsidRPr="00F4291C">
              <w:rPr>
                <w:rFonts w:cstheme="minorHAnsi"/>
                <w:sz w:val="18"/>
                <w:szCs w:val="20"/>
                <w:lang w:val="en-GB"/>
              </w:rPr>
              <w:t>Name of Contract</w:t>
            </w:r>
            <w:r w:rsidR="00A62179" w:rsidRPr="00F4291C">
              <w:rPr>
                <w:rFonts w:cstheme="minorHAnsi"/>
                <w:sz w:val="18"/>
                <w:szCs w:val="20"/>
                <w:lang w:val="en-GB"/>
              </w:rPr>
              <w:t xml:space="preserve"> (EBQNY</w:t>
            </w:r>
            <w:r w:rsidR="00DD6389" w:rsidRPr="00F4291C">
              <w:rPr>
                <w:rFonts w:cstheme="minorHAnsi"/>
                <w:sz w:val="18"/>
                <w:szCs w:val="20"/>
                <w:lang w:val="en-GB"/>
              </w:rPr>
              <w:t>)</w:t>
            </w:r>
          </w:p>
        </w:tc>
        <w:tc>
          <w:tcPr>
            <w:tcW w:w="6673" w:type="dxa"/>
          </w:tcPr>
          <w:p w:rsidR="00DD6389" w:rsidRPr="00F4291C" w:rsidRDefault="00DD6389" w:rsidP="00620E5B">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E:</w:t>
            </w:r>
            <w:r w:rsidR="00E3599D" w:rsidRPr="00F4291C">
              <w:rPr>
                <w:rFonts w:cstheme="minorHAnsi"/>
                <w:sz w:val="18"/>
                <w:szCs w:val="20"/>
                <w:lang w:val="en-GB"/>
              </w:rPr>
              <w:t>Electricity Contract</w:t>
            </w:r>
            <w:r w:rsidRPr="00F4291C">
              <w:rPr>
                <w:rFonts w:cstheme="minorHAnsi"/>
                <w:sz w:val="18"/>
                <w:szCs w:val="20"/>
                <w:lang w:val="en-GB"/>
              </w:rPr>
              <w:t xml:space="preserve">, B: </w:t>
            </w:r>
            <w:r w:rsidR="00E3599D" w:rsidRPr="00F4291C">
              <w:rPr>
                <w:rFonts w:cstheme="minorHAnsi"/>
                <w:sz w:val="18"/>
                <w:szCs w:val="20"/>
                <w:lang w:val="en-GB"/>
              </w:rPr>
              <w:t>Load Type Letter Code</w:t>
            </w:r>
            <w:r w:rsidRPr="00F4291C">
              <w:rPr>
                <w:rFonts w:cstheme="minorHAnsi"/>
                <w:sz w:val="18"/>
                <w:szCs w:val="20"/>
                <w:lang w:val="en-GB"/>
              </w:rPr>
              <w:t xml:space="preserve">, </w:t>
            </w:r>
            <w:r w:rsidR="00A62179" w:rsidRPr="00F4291C">
              <w:rPr>
                <w:rFonts w:cstheme="minorHAnsi"/>
                <w:sz w:val="18"/>
                <w:szCs w:val="20"/>
                <w:lang w:val="en-GB"/>
              </w:rPr>
              <w:t xml:space="preserve">Q: </w:t>
            </w:r>
            <w:r w:rsidR="00E3599D" w:rsidRPr="00F4291C">
              <w:rPr>
                <w:rFonts w:cstheme="minorHAnsi"/>
                <w:sz w:val="18"/>
                <w:szCs w:val="20"/>
                <w:lang w:val="en-GB"/>
              </w:rPr>
              <w:t>Delivery Period Letter Code</w:t>
            </w:r>
            <w:r w:rsidR="00A62179" w:rsidRPr="00F4291C">
              <w:rPr>
                <w:rFonts w:cstheme="minorHAnsi"/>
                <w:sz w:val="18"/>
                <w:szCs w:val="20"/>
                <w:lang w:val="en-GB"/>
              </w:rPr>
              <w:t>, N</w:t>
            </w:r>
            <w:r w:rsidRPr="00F4291C">
              <w:rPr>
                <w:rFonts w:cstheme="minorHAnsi"/>
                <w:sz w:val="18"/>
                <w:szCs w:val="20"/>
                <w:lang w:val="en-GB"/>
              </w:rPr>
              <w:t xml:space="preserve">: </w:t>
            </w:r>
            <w:r w:rsidR="00E3599D" w:rsidRPr="00F4291C">
              <w:rPr>
                <w:rFonts w:cstheme="minorHAnsi"/>
                <w:sz w:val="18"/>
                <w:szCs w:val="20"/>
                <w:lang w:val="en-GB"/>
              </w:rPr>
              <w:t xml:space="preserve">Digit </w:t>
            </w:r>
            <w:r w:rsidR="000A6C65">
              <w:rPr>
                <w:rFonts w:cstheme="minorHAnsi"/>
                <w:sz w:val="18"/>
                <w:szCs w:val="20"/>
                <w:lang w:val="en-GB"/>
              </w:rPr>
              <w:t>S</w:t>
            </w:r>
            <w:r w:rsidR="00E3599D" w:rsidRPr="00F4291C">
              <w:rPr>
                <w:rFonts w:cstheme="minorHAnsi"/>
                <w:sz w:val="18"/>
                <w:szCs w:val="20"/>
                <w:lang w:val="en-GB"/>
              </w:rPr>
              <w:t xml:space="preserve">howing </w:t>
            </w:r>
            <w:r w:rsidR="0087365A" w:rsidRPr="00F4291C">
              <w:rPr>
                <w:rFonts w:cstheme="minorHAnsi"/>
                <w:sz w:val="18"/>
                <w:szCs w:val="20"/>
                <w:lang w:val="en-GB"/>
              </w:rPr>
              <w:t xml:space="preserve">the </w:t>
            </w:r>
            <w:r w:rsidR="000A6C65">
              <w:rPr>
                <w:rFonts w:cstheme="minorHAnsi"/>
                <w:sz w:val="18"/>
                <w:szCs w:val="20"/>
                <w:lang w:val="en-GB"/>
              </w:rPr>
              <w:t>A</w:t>
            </w:r>
            <w:r w:rsidR="0087365A" w:rsidRPr="00F4291C">
              <w:rPr>
                <w:rFonts w:cstheme="minorHAnsi"/>
                <w:sz w:val="18"/>
                <w:szCs w:val="20"/>
                <w:lang w:val="en-GB"/>
              </w:rPr>
              <w:t xml:space="preserve">pplicable </w:t>
            </w:r>
            <w:r w:rsidR="000A6C65">
              <w:rPr>
                <w:rFonts w:cstheme="minorHAnsi"/>
                <w:sz w:val="18"/>
                <w:szCs w:val="20"/>
                <w:lang w:val="en-GB"/>
              </w:rPr>
              <w:t>Q</w:t>
            </w:r>
            <w:r w:rsidR="00E3599D" w:rsidRPr="00F4291C">
              <w:rPr>
                <w:rFonts w:cstheme="minorHAnsi"/>
                <w:sz w:val="18"/>
                <w:szCs w:val="20"/>
                <w:lang w:val="en-GB"/>
              </w:rPr>
              <w:t xml:space="preserve">uarter of the </w:t>
            </w:r>
            <w:r w:rsidR="000A6C65" w:rsidRPr="00F4291C">
              <w:rPr>
                <w:rFonts w:cstheme="minorHAnsi"/>
                <w:sz w:val="18"/>
                <w:szCs w:val="20"/>
                <w:lang w:val="en-GB"/>
              </w:rPr>
              <w:t>Relevant Year</w:t>
            </w:r>
            <w:r w:rsidR="00E3599D" w:rsidRPr="00F4291C">
              <w:rPr>
                <w:rFonts w:cstheme="minorHAnsi"/>
                <w:sz w:val="18"/>
                <w:szCs w:val="20"/>
                <w:lang w:val="en-GB"/>
              </w:rPr>
              <w:t xml:space="preserve">, YY: </w:t>
            </w:r>
            <w:r w:rsidR="00496A70">
              <w:rPr>
                <w:rFonts w:cstheme="minorHAnsi"/>
                <w:sz w:val="18"/>
                <w:szCs w:val="20"/>
                <w:lang w:val="en-GB"/>
              </w:rPr>
              <w:t xml:space="preserve">Year </w:t>
            </w:r>
            <w:r w:rsidR="00620E5B">
              <w:rPr>
                <w:rFonts w:cstheme="minorHAnsi"/>
                <w:sz w:val="18"/>
                <w:szCs w:val="20"/>
                <w:lang w:val="en-GB"/>
              </w:rPr>
              <w:t>belonging to the</w:t>
            </w:r>
            <w:r w:rsidR="00496A70">
              <w:rPr>
                <w:rFonts w:cstheme="minorHAnsi"/>
                <w:sz w:val="18"/>
                <w:szCs w:val="20"/>
                <w:lang w:val="en-GB"/>
              </w:rPr>
              <w:t xml:space="preserve"> Delivery Period</w:t>
            </w:r>
            <w:r w:rsidR="00E3599D" w:rsidRPr="00F4291C">
              <w:rPr>
                <w:rFonts w:cstheme="minorHAnsi"/>
                <w:sz w:val="18"/>
                <w:szCs w:val="20"/>
                <w:lang w:val="en-GB"/>
              </w:rPr>
              <w:t xml:space="preserve"> (</w:t>
            </w:r>
            <w:r w:rsidR="00E3599D" w:rsidRPr="00F4291C">
              <w:rPr>
                <w:rFonts w:cstheme="minorHAnsi"/>
                <w:b/>
                <w:bCs/>
                <w:sz w:val="18"/>
                <w:szCs w:val="20"/>
                <w:lang w:val="en-GB"/>
              </w:rPr>
              <w:t>E</w:t>
            </w:r>
            <w:r w:rsidR="00D71088" w:rsidRPr="00F4291C">
              <w:rPr>
                <w:rFonts w:cstheme="minorHAnsi"/>
                <w:b/>
                <w:bCs/>
                <w:sz w:val="18"/>
                <w:szCs w:val="20"/>
                <w:lang w:val="en-GB"/>
              </w:rPr>
              <w:t>xample: 2021 Third Quarter Base</w:t>
            </w:r>
            <w:r w:rsidR="00E3599D" w:rsidRPr="00F4291C">
              <w:rPr>
                <w:rFonts w:cstheme="minorHAnsi"/>
                <w:b/>
                <w:bCs/>
                <w:sz w:val="18"/>
                <w:szCs w:val="20"/>
                <w:lang w:val="en-GB"/>
              </w:rPr>
              <w:t xml:space="preserve"> Contract EBQ321</w:t>
            </w:r>
            <w:r w:rsidR="00E3599D" w:rsidRPr="00F4291C">
              <w:rPr>
                <w:rFonts w:cstheme="minorHAnsi"/>
                <w:sz w:val="18"/>
                <w:szCs w:val="20"/>
                <w:lang w:val="en-GB"/>
              </w:rPr>
              <w:t>)</w:t>
            </w:r>
            <w:r w:rsidR="00753867">
              <w:rPr>
                <w:rFonts w:cstheme="minorHAnsi"/>
                <w:sz w:val="18"/>
                <w:szCs w:val="20"/>
                <w:lang w:val="en-GB"/>
              </w:rPr>
              <w:t xml:space="preserve"> </w:t>
            </w:r>
            <w:r w:rsidR="005B7018">
              <w:rPr>
                <w:rFonts w:cstheme="minorHAnsi"/>
                <w:sz w:val="18"/>
                <w:szCs w:val="20"/>
                <w:lang w:val="en-GB"/>
              </w:rPr>
              <w:t xml:space="preserve"> </w:t>
            </w:r>
            <w:r w:rsidR="00A02E29">
              <w:rPr>
                <w:rFonts w:cstheme="minorHAnsi"/>
                <w:sz w:val="18"/>
                <w:szCs w:val="20"/>
                <w:lang w:val="en-GB"/>
              </w:rPr>
              <w:t xml:space="preserve"> </w:t>
            </w:r>
            <w:r w:rsidR="001C693E">
              <w:rPr>
                <w:rFonts w:cstheme="minorHAnsi"/>
                <w:sz w:val="18"/>
                <w:szCs w:val="20"/>
                <w:lang w:val="en-GB"/>
              </w:rPr>
              <w:t xml:space="preserve"> </w:t>
            </w:r>
            <w:r w:rsidR="006504E8">
              <w:rPr>
                <w:rFonts w:cstheme="minorHAnsi"/>
                <w:sz w:val="18"/>
                <w:szCs w:val="20"/>
                <w:lang w:val="en-GB"/>
              </w:rPr>
              <w:t xml:space="preserve"> </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87365A" w:rsidP="00A62179">
            <w:pPr>
              <w:spacing w:after="160" w:line="276" w:lineRule="auto"/>
              <w:jc w:val="both"/>
              <w:rPr>
                <w:rFonts w:cstheme="minorHAnsi"/>
                <w:sz w:val="18"/>
                <w:szCs w:val="20"/>
                <w:lang w:val="en-GB"/>
              </w:rPr>
            </w:pPr>
            <w:r w:rsidRPr="00F4291C">
              <w:rPr>
                <w:rFonts w:cstheme="minorHAnsi"/>
                <w:sz w:val="18"/>
                <w:szCs w:val="20"/>
                <w:lang w:val="en-GB"/>
              </w:rPr>
              <w:t xml:space="preserve">Underlying Asset </w:t>
            </w:r>
          </w:p>
        </w:tc>
        <w:tc>
          <w:tcPr>
            <w:tcW w:w="6673" w:type="dxa"/>
          </w:tcPr>
          <w:p w:rsidR="00DD6389" w:rsidRPr="00F4291C" w:rsidRDefault="0087365A" w:rsidP="00C465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Physical Quarterly </w:t>
            </w:r>
            <w:r w:rsidR="00A56194" w:rsidRPr="00F4291C">
              <w:rPr>
                <w:rFonts w:cstheme="minorHAnsi"/>
                <w:sz w:val="18"/>
                <w:szCs w:val="20"/>
                <w:lang w:val="en-GB"/>
              </w:rPr>
              <w:t xml:space="preserve">Base Load Electricity </w:t>
            </w:r>
            <w:r w:rsidR="00322CC1" w:rsidRPr="00F4291C">
              <w:rPr>
                <w:rFonts w:cstheme="minorHAnsi"/>
                <w:sz w:val="18"/>
                <w:szCs w:val="20"/>
                <w:lang w:val="en-GB"/>
              </w:rPr>
              <w:t xml:space="preserve">Futures </w:t>
            </w:r>
            <w:r w:rsidR="00A56194" w:rsidRPr="00F4291C">
              <w:rPr>
                <w:rFonts w:cstheme="minorHAnsi"/>
                <w:sz w:val="18"/>
                <w:szCs w:val="20"/>
                <w:lang w:val="en-GB"/>
              </w:rPr>
              <w:t xml:space="preserve">Contract </w:t>
            </w:r>
            <w:r w:rsidR="00E710D4" w:rsidRPr="00F4291C">
              <w:rPr>
                <w:rFonts w:cstheme="minorHAnsi"/>
                <w:sz w:val="18"/>
                <w:szCs w:val="20"/>
                <w:lang w:val="en-GB"/>
              </w:rPr>
              <w:t>obliges</w:t>
            </w:r>
            <w:r w:rsidR="00D31C67" w:rsidRPr="00F4291C">
              <w:rPr>
                <w:rFonts w:cstheme="minorHAnsi"/>
                <w:sz w:val="18"/>
                <w:szCs w:val="20"/>
                <w:lang w:val="en-GB"/>
              </w:rPr>
              <w:t xml:space="preserve"> </w:t>
            </w:r>
            <w:r w:rsidR="00E5480B" w:rsidRPr="00F4291C">
              <w:rPr>
                <w:rFonts w:cstheme="minorHAnsi"/>
                <w:sz w:val="18"/>
                <w:szCs w:val="20"/>
                <w:lang w:val="en-GB"/>
              </w:rPr>
              <w:t xml:space="preserve">the parties to the contract </w:t>
            </w:r>
            <w:r w:rsidR="00E710D4" w:rsidRPr="00F4291C">
              <w:rPr>
                <w:rFonts w:cstheme="minorHAnsi"/>
                <w:sz w:val="18"/>
                <w:szCs w:val="20"/>
                <w:lang w:val="en-GB"/>
              </w:rPr>
              <w:t xml:space="preserve">to </w:t>
            </w:r>
            <w:r w:rsidR="00D31C67" w:rsidRPr="00F4291C">
              <w:rPr>
                <w:rFonts w:cstheme="minorHAnsi"/>
                <w:sz w:val="18"/>
                <w:szCs w:val="20"/>
                <w:lang w:val="en-GB"/>
              </w:rPr>
              <w:t xml:space="preserve">supply </w:t>
            </w:r>
            <w:r w:rsidR="001F4054" w:rsidRPr="00F4291C">
              <w:rPr>
                <w:rFonts w:cstheme="minorHAnsi"/>
                <w:sz w:val="18"/>
                <w:szCs w:val="20"/>
                <w:lang w:val="en-GB"/>
              </w:rPr>
              <w:t>or</w:t>
            </w:r>
            <w:r w:rsidR="00EC2B45" w:rsidRPr="00F4291C">
              <w:rPr>
                <w:rFonts w:cstheme="minorHAnsi"/>
                <w:sz w:val="18"/>
                <w:szCs w:val="20"/>
                <w:lang w:val="en-GB"/>
              </w:rPr>
              <w:t xml:space="preserve"> draw </w:t>
            </w:r>
            <w:r w:rsidR="00E710D4" w:rsidRPr="00F4291C">
              <w:rPr>
                <w:rFonts w:cstheme="minorHAnsi"/>
                <w:sz w:val="18"/>
                <w:szCs w:val="20"/>
                <w:lang w:val="en-GB"/>
              </w:rPr>
              <w:t>electricity</w:t>
            </w:r>
            <w:r w:rsidR="00E5480B" w:rsidRPr="00F4291C">
              <w:rPr>
                <w:rFonts w:cstheme="minorHAnsi"/>
                <w:sz w:val="18"/>
                <w:szCs w:val="20"/>
                <w:lang w:val="en-GB"/>
              </w:rPr>
              <w:t xml:space="preserve"> </w:t>
            </w:r>
            <w:r w:rsidR="00E710D4" w:rsidRPr="00F4291C">
              <w:rPr>
                <w:rFonts w:cstheme="minorHAnsi"/>
                <w:sz w:val="18"/>
                <w:szCs w:val="20"/>
                <w:lang w:val="en-GB"/>
              </w:rPr>
              <w:t>for</w:t>
            </w:r>
            <w:r w:rsidR="00EC2B45" w:rsidRPr="00F4291C">
              <w:rPr>
                <w:rFonts w:cstheme="minorHAnsi"/>
                <w:sz w:val="18"/>
                <w:szCs w:val="20"/>
                <w:lang w:val="en-GB"/>
              </w:rPr>
              <w:t xml:space="preserve"> 1 quarter in 1 Lot (0,1 MW) and multiplies of it, in equal quantities every hour, from 00.00</w:t>
            </w:r>
            <w:r w:rsidR="00E5480B" w:rsidRPr="00F4291C">
              <w:rPr>
                <w:rFonts w:cstheme="minorHAnsi"/>
                <w:sz w:val="18"/>
                <w:szCs w:val="20"/>
                <w:lang w:val="en-GB"/>
              </w:rPr>
              <w:t xml:space="preserve"> hrs</w:t>
            </w:r>
            <w:r w:rsidR="00EC2B45" w:rsidRPr="00F4291C">
              <w:rPr>
                <w:rFonts w:cstheme="minorHAnsi"/>
                <w:sz w:val="18"/>
                <w:szCs w:val="20"/>
                <w:lang w:val="en-GB"/>
              </w:rPr>
              <w:t xml:space="preserve"> on the first day of delivery quarter to 23.59</w:t>
            </w:r>
            <w:r w:rsidR="00E5480B" w:rsidRPr="00F4291C">
              <w:rPr>
                <w:rFonts w:cstheme="minorHAnsi"/>
                <w:sz w:val="18"/>
                <w:szCs w:val="20"/>
                <w:lang w:val="en-GB"/>
              </w:rPr>
              <w:t xml:space="preserve"> hrs</w:t>
            </w:r>
            <w:r w:rsidR="00EC2B45" w:rsidRPr="00F4291C">
              <w:rPr>
                <w:rFonts w:cstheme="minorHAnsi"/>
                <w:sz w:val="18"/>
                <w:szCs w:val="20"/>
                <w:lang w:val="en-GB"/>
              </w:rPr>
              <w:t xml:space="preserve"> on the last day of delivery quarter in the relevant bid</w:t>
            </w:r>
            <w:r w:rsidR="00C4657F">
              <w:rPr>
                <w:rFonts w:cstheme="minorHAnsi"/>
                <w:sz w:val="18"/>
                <w:szCs w:val="20"/>
                <w:lang w:val="en-GB"/>
              </w:rPr>
              <w:t>ding zone</w:t>
            </w:r>
            <w:r w:rsidR="00EC2B45" w:rsidRPr="00F4291C">
              <w:rPr>
                <w:rFonts w:cstheme="minorHAnsi"/>
                <w:sz w:val="18"/>
                <w:szCs w:val="20"/>
                <w:lang w:val="en-GB"/>
              </w:rPr>
              <w:t xml:space="preserve">. </w:t>
            </w:r>
            <w:r w:rsidR="00E5480B" w:rsidRPr="00F4291C">
              <w:rPr>
                <w:rFonts w:cstheme="minorHAnsi"/>
                <w:sz w:val="18"/>
                <w:szCs w:val="20"/>
                <w:lang w:val="en-GB"/>
              </w:rPr>
              <w:t xml:space="preserve">The number of Lots to be </w:t>
            </w:r>
            <w:r w:rsidR="00960F46">
              <w:rPr>
                <w:rFonts w:cstheme="minorHAnsi"/>
                <w:sz w:val="18"/>
                <w:szCs w:val="20"/>
                <w:lang w:val="en-GB"/>
              </w:rPr>
              <w:t>traded</w:t>
            </w:r>
            <w:r w:rsidR="00E5480B" w:rsidRPr="00F4291C">
              <w:rPr>
                <w:rFonts w:cstheme="minorHAnsi"/>
                <w:sz w:val="18"/>
                <w:szCs w:val="20"/>
                <w:lang w:val="en-GB"/>
              </w:rPr>
              <w:t xml:space="preserve"> shall be arranged by the market participant itself depending on the size of the intended trade</w:t>
            </w:r>
            <w:r w:rsidR="00DD6389" w:rsidRPr="00F4291C">
              <w:rPr>
                <w:rFonts w:cstheme="minorHAnsi"/>
                <w:sz w:val="18"/>
                <w:szCs w:val="20"/>
                <w:lang w:val="en-GB"/>
              </w:rPr>
              <w:t xml:space="preserve">.  </w:t>
            </w:r>
            <w:r w:rsidR="00E96AF9">
              <w:rPr>
                <w:rFonts w:cstheme="minorHAnsi"/>
                <w:sz w:val="18"/>
                <w:szCs w:val="20"/>
                <w:lang w:val="en-GB"/>
              </w:rPr>
              <w:t xml:space="preserve"> </w:t>
            </w:r>
            <w:r w:rsidR="006769E2">
              <w:rPr>
                <w:rFonts w:cstheme="minorHAnsi"/>
                <w:sz w:val="18"/>
                <w:szCs w:val="20"/>
                <w:lang w:val="en-GB"/>
              </w:rPr>
              <w:t xml:space="preserve"> </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E5480B" w:rsidP="00C4657F">
            <w:pPr>
              <w:spacing w:after="160" w:line="276" w:lineRule="auto"/>
              <w:jc w:val="both"/>
              <w:rPr>
                <w:rFonts w:cstheme="minorHAnsi"/>
                <w:sz w:val="18"/>
                <w:szCs w:val="20"/>
                <w:lang w:val="en-GB"/>
              </w:rPr>
            </w:pPr>
            <w:r w:rsidRPr="00F4291C">
              <w:rPr>
                <w:rFonts w:cstheme="minorHAnsi"/>
                <w:sz w:val="18"/>
                <w:szCs w:val="20"/>
                <w:lang w:val="en-GB"/>
              </w:rPr>
              <w:t>Bid</w:t>
            </w:r>
            <w:r w:rsidR="00C4657F">
              <w:rPr>
                <w:rFonts w:cstheme="minorHAnsi"/>
                <w:sz w:val="18"/>
                <w:szCs w:val="20"/>
                <w:lang w:val="en-GB"/>
              </w:rPr>
              <w:t>ding Zone</w:t>
            </w:r>
            <w:r w:rsidRPr="00F4291C">
              <w:rPr>
                <w:rFonts w:cstheme="minorHAnsi"/>
                <w:sz w:val="18"/>
                <w:szCs w:val="20"/>
                <w:lang w:val="en-GB"/>
              </w:rPr>
              <w:t xml:space="preserve"> </w:t>
            </w:r>
          </w:p>
        </w:tc>
        <w:tc>
          <w:tcPr>
            <w:tcW w:w="6673" w:type="dxa"/>
          </w:tcPr>
          <w:p w:rsidR="00DD6389" w:rsidRPr="00F4291C" w:rsidRDefault="00E5480B"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Turkey </w:t>
            </w:r>
            <w:r w:rsidR="000721B5">
              <w:rPr>
                <w:rFonts w:cstheme="minorHAnsi"/>
                <w:sz w:val="18"/>
                <w:szCs w:val="20"/>
                <w:lang w:val="en-GB"/>
              </w:rPr>
              <w:t xml:space="preserve"> </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DD6389" w:rsidP="003F4D50">
            <w:pPr>
              <w:spacing w:after="160" w:line="276" w:lineRule="auto"/>
              <w:jc w:val="both"/>
              <w:rPr>
                <w:rFonts w:cstheme="minorHAnsi"/>
                <w:sz w:val="18"/>
                <w:szCs w:val="20"/>
                <w:lang w:val="en-GB"/>
              </w:rPr>
            </w:pPr>
            <w:r w:rsidRPr="00F4291C">
              <w:rPr>
                <w:rFonts w:cstheme="minorHAnsi"/>
                <w:sz w:val="18"/>
                <w:szCs w:val="20"/>
                <w:lang w:val="en-GB"/>
              </w:rPr>
              <w:t xml:space="preserve">Minimum </w:t>
            </w:r>
            <w:r w:rsidR="003F4D50" w:rsidRPr="00F4291C">
              <w:rPr>
                <w:rFonts w:cstheme="minorHAnsi"/>
                <w:sz w:val="18"/>
                <w:szCs w:val="20"/>
                <w:lang w:val="en-GB"/>
              </w:rPr>
              <w:t xml:space="preserve">Trading Quantity </w:t>
            </w:r>
          </w:p>
        </w:tc>
        <w:tc>
          <w:tcPr>
            <w:tcW w:w="6673" w:type="dxa"/>
          </w:tcPr>
          <w:p w:rsidR="00DD6389" w:rsidRPr="00F4291C"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1 Lot = 0,1 MW</w:t>
            </w:r>
          </w:p>
        </w:tc>
      </w:tr>
      <w:tr w:rsidR="00DD6389" w:rsidRPr="00F4291C" w:rsidTr="00B5704D">
        <w:trPr>
          <w:trHeight w:val="1765"/>
        </w:trPr>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3F4D50" w:rsidP="00A62179">
            <w:pPr>
              <w:spacing w:after="160" w:line="276" w:lineRule="auto"/>
              <w:jc w:val="both"/>
              <w:rPr>
                <w:rFonts w:cstheme="minorHAnsi"/>
                <w:sz w:val="18"/>
                <w:szCs w:val="20"/>
                <w:lang w:val="en-GB"/>
              </w:rPr>
            </w:pPr>
            <w:r w:rsidRPr="00F4291C">
              <w:rPr>
                <w:rFonts w:cstheme="minorHAnsi"/>
                <w:sz w:val="18"/>
                <w:szCs w:val="20"/>
                <w:lang w:val="en-GB"/>
              </w:rPr>
              <w:t xml:space="preserve">Contract Size </w:t>
            </w:r>
          </w:p>
        </w:tc>
        <w:tc>
          <w:tcPr>
            <w:tcW w:w="6673" w:type="dxa"/>
          </w:tcPr>
          <w:p w:rsidR="00DD6389" w:rsidRPr="00F4291C" w:rsidRDefault="005A1D9E" w:rsidP="005A1D9E">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Number of hours in the delivery quarter </w:t>
            </w:r>
            <w:r w:rsidR="00DD6389" w:rsidRPr="00F4291C">
              <w:rPr>
                <w:rFonts w:cstheme="minorHAnsi"/>
                <w:sz w:val="18"/>
                <w:szCs w:val="20"/>
                <w:lang w:val="en-GB"/>
              </w:rPr>
              <w:t>x 0, 1 MW</w:t>
            </w:r>
          </w:p>
          <w:p w:rsidR="00DD6389" w:rsidRPr="00F4291C" w:rsidRDefault="005A1D9E" w:rsidP="005A1D9E">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Number of hours in the delivery quarter</w:t>
            </w:r>
            <w:r w:rsidR="00DD6389" w:rsidRPr="00F4291C">
              <w:rPr>
                <w:rFonts w:cstheme="minorHAnsi"/>
                <w:sz w:val="18"/>
                <w:szCs w:val="20"/>
                <w:lang w:val="en-GB"/>
              </w:rPr>
              <w:t xml:space="preserve">: </w:t>
            </w:r>
            <w:r w:rsidRPr="00F4291C">
              <w:rPr>
                <w:rFonts w:cstheme="minorHAnsi"/>
                <w:sz w:val="18"/>
                <w:szCs w:val="20"/>
                <w:lang w:val="en-GB"/>
              </w:rPr>
              <w:t>Number of days in the delivery quarter</w:t>
            </w:r>
            <w:r w:rsidR="00DD6389" w:rsidRPr="00F4291C">
              <w:rPr>
                <w:rFonts w:cstheme="minorHAnsi"/>
                <w:sz w:val="18"/>
                <w:szCs w:val="20"/>
                <w:lang w:val="en-GB"/>
              </w:rPr>
              <w:t xml:space="preserve"> x 24</w:t>
            </w:r>
          </w:p>
          <w:p w:rsidR="00DD6389" w:rsidRPr="00F4291C" w:rsidRDefault="00CA7C76" w:rsidP="00C465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The contract size varies depending on the number of days in the delivery quarter and the summer time / winter time application. For the day when the winter time is switched to the summer time, the number of </w:t>
            </w:r>
            <w:r w:rsidR="00C4657F">
              <w:rPr>
                <w:rFonts w:cstheme="minorHAnsi"/>
                <w:sz w:val="18"/>
                <w:szCs w:val="20"/>
                <w:lang w:val="en-GB"/>
              </w:rPr>
              <w:t>hours</w:t>
            </w:r>
            <w:r w:rsidRPr="00F4291C">
              <w:rPr>
                <w:rFonts w:cstheme="minorHAnsi"/>
                <w:sz w:val="18"/>
                <w:szCs w:val="20"/>
                <w:lang w:val="en-GB"/>
              </w:rPr>
              <w:t xml:space="preserve"> shall be taken as 23 hours while for the day when the summer time is switching to the winter time, the number of </w:t>
            </w:r>
            <w:r w:rsidR="00C4657F">
              <w:rPr>
                <w:rFonts w:cstheme="minorHAnsi"/>
                <w:sz w:val="18"/>
                <w:szCs w:val="20"/>
                <w:lang w:val="en-GB"/>
              </w:rPr>
              <w:t>hours</w:t>
            </w:r>
            <w:r w:rsidR="005B64AF" w:rsidRPr="00F4291C">
              <w:rPr>
                <w:rFonts w:cstheme="minorHAnsi"/>
                <w:sz w:val="18"/>
                <w:szCs w:val="20"/>
                <w:lang w:val="en-GB"/>
              </w:rPr>
              <w:t xml:space="preserve"> shall be taken as 25 hours</w:t>
            </w:r>
            <w:r w:rsidR="00DD6389" w:rsidRPr="00F4291C">
              <w:rPr>
                <w:rFonts w:cstheme="minorHAnsi"/>
                <w:sz w:val="18"/>
                <w:szCs w:val="20"/>
                <w:lang w:val="en-GB"/>
              </w:rPr>
              <w:t>.</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5B64AF" w:rsidP="00A62179">
            <w:pPr>
              <w:spacing w:after="160" w:line="276" w:lineRule="auto"/>
              <w:jc w:val="both"/>
              <w:rPr>
                <w:rFonts w:cstheme="minorHAnsi"/>
                <w:sz w:val="18"/>
                <w:szCs w:val="20"/>
                <w:lang w:val="en-GB"/>
              </w:rPr>
            </w:pPr>
            <w:r w:rsidRPr="00F4291C">
              <w:rPr>
                <w:rFonts w:cstheme="minorHAnsi"/>
                <w:sz w:val="18"/>
                <w:szCs w:val="20"/>
                <w:lang w:val="en-GB"/>
              </w:rPr>
              <w:t xml:space="preserve">Matching Price </w:t>
            </w:r>
          </w:p>
        </w:tc>
        <w:tc>
          <w:tcPr>
            <w:tcW w:w="6673" w:type="dxa"/>
          </w:tcPr>
          <w:p w:rsidR="00DD6389" w:rsidRPr="00F4291C" w:rsidRDefault="00621386" w:rsidP="00C465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The price of </w:t>
            </w:r>
            <w:r w:rsidR="00C4657F">
              <w:rPr>
                <w:rFonts w:cstheme="minorHAnsi"/>
                <w:sz w:val="18"/>
                <w:szCs w:val="20"/>
                <w:lang w:val="en-GB"/>
              </w:rPr>
              <w:t xml:space="preserve">the </w:t>
            </w:r>
            <w:r w:rsidRPr="00F4291C">
              <w:rPr>
                <w:rFonts w:cstheme="minorHAnsi"/>
                <w:sz w:val="18"/>
                <w:szCs w:val="20"/>
                <w:lang w:val="en-GB"/>
              </w:rPr>
              <w:t xml:space="preserve">trade that takes place in case the </w:t>
            </w:r>
            <w:r w:rsidR="00E56020" w:rsidRPr="00F4291C">
              <w:rPr>
                <w:rFonts w:cstheme="minorHAnsi"/>
                <w:sz w:val="18"/>
                <w:szCs w:val="20"/>
                <w:lang w:val="en-GB"/>
              </w:rPr>
              <w:t xml:space="preserve">relevant </w:t>
            </w:r>
            <w:r w:rsidR="00C4657F">
              <w:rPr>
                <w:rFonts w:cstheme="minorHAnsi"/>
                <w:sz w:val="18"/>
                <w:szCs w:val="20"/>
                <w:lang w:val="en-GB"/>
              </w:rPr>
              <w:t>orders</w:t>
            </w:r>
            <w:r w:rsidR="00E56020" w:rsidRPr="00F4291C">
              <w:rPr>
                <w:rFonts w:cstheme="minorHAnsi"/>
                <w:sz w:val="18"/>
                <w:szCs w:val="20"/>
                <w:lang w:val="en-GB"/>
              </w:rPr>
              <w:t xml:space="preserve"> match</w:t>
            </w:r>
            <w:r w:rsidRPr="00F4291C">
              <w:rPr>
                <w:rFonts w:cstheme="minorHAnsi"/>
                <w:sz w:val="18"/>
                <w:szCs w:val="20"/>
                <w:lang w:val="en-GB"/>
              </w:rPr>
              <w:t xml:space="preserve"> </w:t>
            </w:r>
            <w:r w:rsidR="00C4657F">
              <w:rPr>
                <w:rFonts w:cstheme="minorHAnsi"/>
                <w:sz w:val="18"/>
                <w:szCs w:val="20"/>
                <w:lang w:val="en-GB"/>
              </w:rPr>
              <w:t>is</w:t>
            </w:r>
            <w:r w:rsidRPr="00F4291C">
              <w:rPr>
                <w:rFonts w:cstheme="minorHAnsi"/>
                <w:sz w:val="18"/>
                <w:szCs w:val="20"/>
                <w:lang w:val="en-GB"/>
              </w:rPr>
              <w:t xml:space="preserve"> equal to </w:t>
            </w:r>
            <w:r w:rsidR="00C4657F">
              <w:rPr>
                <w:rFonts w:cstheme="minorHAnsi"/>
                <w:sz w:val="18"/>
                <w:szCs w:val="20"/>
                <w:lang w:val="en-GB"/>
              </w:rPr>
              <w:t xml:space="preserve">the </w:t>
            </w:r>
            <w:r w:rsidRPr="00F4291C">
              <w:rPr>
                <w:rFonts w:cstheme="minorHAnsi"/>
                <w:sz w:val="18"/>
                <w:szCs w:val="20"/>
                <w:lang w:val="en-GB"/>
              </w:rPr>
              <w:t xml:space="preserve">price of </w:t>
            </w:r>
            <w:r w:rsidR="00990BC3" w:rsidRPr="00F4291C">
              <w:rPr>
                <w:rFonts w:cstheme="minorHAnsi"/>
                <w:sz w:val="18"/>
                <w:szCs w:val="20"/>
                <w:lang w:val="en-GB"/>
              </w:rPr>
              <w:t xml:space="preserve">the </w:t>
            </w:r>
            <w:r w:rsidR="00C4657F">
              <w:rPr>
                <w:rFonts w:cstheme="minorHAnsi"/>
                <w:sz w:val="18"/>
                <w:szCs w:val="20"/>
                <w:lang w:val="en-GB"/>
              </w:rPr>
              <w:t>order submitted</w:t>
            </w:r>
            <w:r w:rsidRPr="00F4291C">
              <w:rPr>
                <w:rFonts w:cstheme="minorHAnsi"/>
                <w:sz w:val="18"/>
                <w:szCs w:val="20"/>
                <w:lang w:val="en-GB"/>
              </w:rPr>
              <w:t xml:space="preserve"> </w:t>
            </w:r>
            <w:r w:rsidR="00990BC3" w:rsidRPr="00F4291C">
              <w:rPr>
                <w:rFonts w:cstheme="minorHAnsi"/>
                <w:sz w:val="18"/>
                <w:szCs w:val="20"/>
                <w:lang w:val="en-GB"/>
              </w:rPr>
              <w:t>first</w:t>
            </w:r>
            <w:r w:rsidR="003116A5" w:rsidRPr="00F4291C">
              <w:rPr>
                <w:rFonts w:cstheme="minorHAnsi"/>
                <w:sz w:val="18"/>
                <w:szCs w:val="20"/>
                <w:lang w:val="en-GB"/>
              </w:rPr>
              <w:t xml:space="preserve"> </w:t>
            </w:r>
            <w:r w:rsidR="00990BC3" w:rsidRPr="00F4291C">
              <w:rPr>
                <w:rFonts w:cstheme="minorHAnsi"/>
                <w:sz w:val="18"/>
                <w:szCs w:val="20"/>
                <w:lang w:val="en-GB"/>
              </w:rPr>
              <w:t xml:space="preserve">to the </w:t>
            </w:r>
            <w:r w:rsidR="00C4657F">
              <w:rPr>
                <w:rFonts w:cstheme="minorHAnsi"/>
                <w:sz w:val="18"/>
                <w:szCs w:val="20"/>
                <w:lang w:val="en-GB"/>
              </w:rPr>
              <w:t>order</w:t>
            </w:r>
            <w:r w:rsidR="00990BC3" w:rsidRPr="00F4291C">
              <w:rPr>
                <w:rFonts w:cstheme="minorHAnsi"/>
                <w:sz w:val="18"/>
                <w:szCs w:val="20"/>
                <w:lang w:val="en-GB"/>
              </w:rPr>
              <w:t xml:space="preserve"> book</w:t>
            </w:r>
            <w:r w:rsidR="00DD6389" w:rsidRPr="00F4291C">
              <w:rPr>
                <w:rFonts w:cstheme="minorHAnsi"/>
                <w:sz w:val="18"/>
                <w:szCs w:val="20"/>
                <w:lang w:val="en-GB"/>
              </w:rPr>
              <w:t>.</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C4657F" w:rsidP="001638FD">
            <w:pPr>
              <w:spacing w:after="160" w:line="276" w:lineRule="auto"/>
              <w:rPr>
                <w:rFonts w:cstheme="minorHAnsi"/>
                <w:sz w:val="18"/>
                <w:szCs w:val="20"/>
                <w:lang w:val="en-GB"/>
              </w:rPr>
            </w:pPr>
            <w:r>
              <w:rPr>
                <w:rFonts w:cstheme="minorHAnsi"/>
                <w:sz w:val="18"/>
                <w:szCs w:val="20"/>
                <w:lang w:val="en-GB"/>
              </w:rPr>
              <w:t>Order</w:t>
            </w:r>
            <w:r w:rsidR="001638FD" w:rsidRPr="00F4291C">
              <w:rPr>
                <w:rFonts w:cstheme="minorHAnsi"/>
                <w:sz w:val="18"/>
                <w:szCs w:val="20"/>
                <w:lang w:val="en-GB"/>
              </w:rPr>
              <w:t xml:space="preserve"> Price and Tick Size (Minimum Price Increment)</w:t>
            </w:r>
          </w:p>
        </w:tc>
        <w:tc>
          <w:tcPr>
            <w:tcW w:w="6673" w:type="dxa"/>
          </w:tcPr>
          <w:p w:rsidR="00DD6389" w:rsidRPr="00F4291C" w:rsidRDefault="00BA1249" w:rsidP="00C465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I</w:t>
            </w:r>
            <w:r w:rsidR="00390F90" w:rsidRPr="00F4291C">
              <w:rPr>
                <w:rFonts w:cstheme="minorHAnsi"/>
                <w:sz w:val="18"/>
                <w:szCs w:val="20"/>
                <w:lang w:val="en-GB"/>
              </w:rPr>
              <w:t>t</w:t>
            </w:r>
            <w:r w:rsidRPr="00F4291C">
              <w:rPr>
                <w:rFonts w:cstheme="minorHAnsi"/>
                <w:sz w:val="18"/>
                <w:szCs w:val="20"/>
                <w:lang w:val="en-GB"/>
              </w:rPr>
              <w:t xml:space="preserve"> means the v</w:t>
            </w:r>
            <w:r w:rsidR="00184826" w:rsidRPr="00F4291C">
              <w:rPr>
                <w:rFonts w:cstheme="minorHAnsi"/>
                <w:sz w:val="18"/>
                <w:szCs w:val="20"/>
                <w:lang w:val="en-GB"/>
              </w:rPr>
              <w:t>alue of 1</w:t>
            </w:r>
            <w:r w:rsidR="00C4657F">
              <w:rPr>
                <w:rFonts w:cstheme="minorHAnsi"/>
                <w:sz w:val="18"/>
                <w:szCs w:val="20"/>
                <w:lang w:val="en-GB"/>
              </w:rPr>
              <w:t xml:space="preserve"> </w:t>
            </w:r>
            <w:r w:rsidR="00184826" w:rsidRPr="00F4291C">
              <w:rPr>
                <w:rFonts w:cstheme="minorHAnsi"/>
                <w:sz w:val="18"/>
                <w:szCs w:val="20"/>
                <w:lang w:val="en-GB"/>
              </w:rPr>
              <w:t>MWh of electric</w:t>
            </w:r>
            <w:r w:rsidR="00C4657F">
              <w:rPr>
                <w:rFonts w:cstheme="minorHAnsi"/>
                <w:sz w:val="18"/>
                <w:szCs w:val="20"/>
                <w:lang w:val="en-GB"/>
              </w:rPr>
              <w:t>ity energy</w:t>
            </w:r>
            <w:r w:rsidR="00184826" w:rsidRPr="00F4291C">
              <w:rPr>
                <w:rFonts w:cstheme="minorHAnsi"/>
                <w:sz w:val="18"/>
                <w:szCs w:val="20"/>
                <w:lang w:val="en-GB"/>
              </w:rPr>
              <w:t xml:space="preserve"> in Turkish Lira (TRY). </w:t>
            </w:r>
            <w:r w:rsidR="00810269" w:rsidRPr="00F4291C">
              <w:rPr>
                <w:rFonts w:cstheme="minorHAnsi"/>
                <w:sz w:val="18"/>
                <w:szCs w:val="20"/>
                <w:lang w:val="en-GB"/>
              </w:rPr>
              <w:t>It is e</w:t>
            </w:r>
            <w:r w:rsidR="00184826" w:rsidRPr="00F4291C">
              <w:rPr>
                <w:rFonts w:cstheme="minorHAnsi"/>
                <w:sz w:val="18"/>
                <w:szCs w:val="20"/>
                <w:lang w:val="en-GB"/>
              </w:rPr>
              <w:t xml:space="preserve">xpressed as two digits following the comma (kurush).  </w:t>
            </w:r>
            <w:r w:rsidR="00AB71D5" w:rsidRPr="00F4291C">
              <w:rPr>
                <w:rFonts w:cstheme="minorHAnsi"/>
                <w:sz w:val="18"/>
                <w:szCs w:val="20"/>
                <w:lang w:val="en-GB"/>
              </w:rPr>
              <w:t xml:space="preserve">The tick size (minimum price increment) is TRY 0,01. </w:t>
            </w:r>
            <w:r w:rsidR="00184826" w:rsidRPr="00F4291C">
              <w:rPr>
                <w:rFonts w:cstheme="minorHAnsi"/>
                <w:sz w:val="18"/>
                <w:szCs w:val="20"/>
                <w:lang w:val="en-GB"/>
              </w:rPr>
              <w:t xml:space="preserve">  </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AB71D5" w:rsidP="00C4657F">
            <w:pPr>
              <w:spacing w:after="160" w:line="276" w:lineRule="auto"/>
              <w:jc w:val="both"/>
              <w:rPr>
                <w:rFonts w:cstheme="minorHAnsi"/>
                <w:sz w:val="18"/>
                <w:szCs w:val="20"/>
                <w:lang w:val="en-GB"/>
              </w:rPr>
            </w:pPr>
            <w:r w:rsidRPr="00F4291C">
              <w:rPr>
                <w:rFonts w:cstheme="minorHAnsi"/>
                <w:sz w:val="18"/>
                <w:szCs w:val="20"/>
                <w:lang w:val="en-GB"/>
              </w:rPr>
              <w:t xml:space="preserve">Daily </w:t>
            </w:r>
            <w:r w:rsidR="00C4657F">
              <w:rPr>
                <w:rFonts w:cstheme="minorHAnsi"/>
                <w:sz w:val="18"/>
                <w:szCs w:val="20"/>
                <w:lang w:val="en-GB"/>
              </w:rPr>
              <w:t>Index</w:t>
            </w:r>
            <w:r w:rsidRPr="00F4291C">
              <w:rPr>
                <w:rFonts w:cstheme="minorHAnsi"/>
                <w:sz w:val="18"/>
                <w:szCs w:val="20"/>
                <w:lang w:val="en-GB"/>
              </w:rPr>
              <w:t xml:space="preserve"> Price (DIP) </w:t>
            </w:r>
          </w:p>
        </w:tc>
        <w:tc>
          <w:tcPr>
            <w:tcW w:w="6673" w:type="dxa"/>
          </w:tcPr>
          <w:p w:rsidR="00DD6389" w:rsidRPr="00F4291C" w:rsidRDefault="00D30A7C" w:rsidP="001C5A25">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It is used to calculate the collateral which the market participants are required to </w:t>
            </w:r>
            <w:r w:rsidR="00C4657F">
              <w:rPr>
                <w:rFonts w:cstheme="minorHAnsi"/>
                <w:sz w:val="18"/>
                <w:szCs w:val="20"/>
                <w:lang w:val="en-GB"/>
              </w:rPr>
              <w:t xml:space="preserve">provide </w:t>
            </w:r>
            <w:r w:rsidRPr="00F4291C">
              <w:rPr>
                <w:rFonts w:cstheme="minorHAnsi"/>
                <w:sz w:val="18"/>
                <w:szCs w:val="20"/>
                <w:lang w:val="en-GB"/>
              </w:rPr>
              <w:t xml:space="preserve">for the positions they hold in the end of the </w:t>
            </w:r>
            <w:r w:rsidR="00C4657F">
              <w:rPr>
                <w:rFonts w:cstheme="minorHAnsi"/>
                <w:sz w:val="18"/>
                <w:szCs w:val="20"/>
                <w:lang w:val="en-GB"/>
              </w:rPr>
              <w:t>seance</w:t>
            </w:r>
            <w:r w:rsidR="00497695" w:rsidRPr="00F4291C">
              <w:rPr>
                <w:rFonts w:cstheme="minorHAnsi"/>
                <w:sz w:val="18"/>
                <w:szCs w:val="20"/>
                <w:lang w:val="en-GB"/>
              </w:rPr>
              <w:t>,</w:t>
            </w:r>
            <w:r w:rsidRPr="00F4291C">
              <w:rPr>
                <w:rFonts w:cstheme="minorHAnsi"/>
                <w:sz w:val="18"/>
                <w:szCs w:val="20"/>
                <w:lang w:val="en-GB"/>
              </w:rPr>
              <w:t xml:space="preserve"> and to determine the opening price </w:t>
            </w:r>
            <w:r w:rsidR="00C4657F">
              <w:rPr>
                <w:rFonts w:cstheme="minorHAnsi"/>
                <w:sz w:val="18"/>
                <w:szCs w:val="20"/>
                <w:lang w:val="en-GB"/>
              </w:rPr>
              <w:t xml:space="preserve">of </w:t>
            </w:r>
            <w:r w:rsidRPr="00F4291C">
              <w:rPr>
                <w:rFonts w:cstheme="minorHAnsi"/>
                <w:sz w:val="18"/>
                <w:szCs w:val="20"/>
                <w:lang w:val="en-GB"/>
              </w:rPr>
              <w:t>the relevant contra</w:t>
            </w:r>
            <w:r w:rsidR="003019E6" w:rsidRPr="00F4291C">
              <w:rPr>
                <w:rFonts w:cstheme="minorHAnsi"/>
                <w:sz w:val="18"/>
                <w:szCs w:val="20"/>
                <w:lang w:val="en-GB"/>
              </w:rPr>
              <w:t xml:space="preserve">ct </w:t>
            </w:r>
            <w:r w:rsidR="00C4657F">
              <w:rPr>
                <w:rFonts w:cstheme="minorHAnsi"/>
                <w:sz w:val="18"/>
                <w:szCs w:val="20"/>
                <w:lang w:val="en-GB"/>
              </w:rPr>
              <w:t>for the following</w:t>
            </w:r>
            <w:r w:rsidR="003019E6" w:rsidRPr="00F4291C">
              <w:rPr>
                <w:rFonts w:cstheme="minorHAnsi"/>
                <w:sz w:val="18"/>
                <w:szCs w:val="20"/>
                <w:lang w:val="en-GB"/>
              </w:rPr>
              <w:t xml:space="preserve"> day</w:t>
            </w:r>
            <w:r w:rsidR="00DD6389" w:rsidRPr="00F4291C">
              <w:rPr>
                <w:rFonts w:cstheme="minorHAnsi"/>
                <w:sz w:val="18"/>
                <w:szCs w:val="20"/>
                <w:lang w:val="en-GB"/>
              </w:rPr>
              <w:t>.</w:t>
            </w:r>
          </w:p>
          <w:p w:rsidR="00DD6389" w:rsidRPr="00F4291C" w:rsidRDefault="00DD6389" w:rsidP="003019E6">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(1) </w:t>
            </w:r>
            <w:r w:rsidR="003019E6" w:rsidRPr="00F4291C">
              <w:rPr>
                <w:rFonts w:cstheme="minorHAnsi"/>
                <w:sz w:val="18"/>
                <w:szCs w:val="20"/>
                <w:lang w:val="en-GB"/>
              </w:rPr>
              <w:t>DIP is determined as follows</w:t>
            </w:r>
            <w:r w:rsidRPr="00F4291C">
              <w:rPr>
                <w:rFonts w:cstheme="minorHAnsi"/>
                <w:sz w:val="18"/>
                <w:szCs w:val="20"/>
                <w:lang w:val="en-GB"/>
              </w:rPr>
              <w:t>:</w:t>
            </w:r>
          </w:p>
          <w:p w:rsidR="00DD6389" w:rsidRPr="00F4291C" w:rsidRDefault="00DD6389" w:rsidP="00960F46">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a)</w:t>
            </w:r>
            <w:r w:rsidR="00492080" w:rsidRPr="00F4291C">
              <w:rPr>
                <w:rFonts w:cstheme="minorHAnsi"/>
                <w:sz w:val="18"/>
                <w:szCs w:val="20"/>
                <w:lang w:val="en-GB"/>
              </w:rPr>
              <w:t xml:space="preserve"> The </w:t>
            </w:r>
            <w:r w:rsidR="00F370A6" w:rsidRPr="00F4291C">
              <w:rPr>
                <w:rFonts w:cstheme="minorHAnsi"/>
                <w:sz w:val="18"/>
                <w:szCs w:val="20"/>
                <w:lang w:val="en-GB"/>
              </w:rPr>
              <w:t>quantity</w:t>
            </w:r>
            <w:r w:rsidR="00492080" w:rsidRPr="00F4291C">
              <w:rPr>
                <w:rFonts w:cstheme="minorHAnsi"/>
                <w:sz w:val="18"/>
                <w:szCs w:val="20"/>
                <w:lang w:val="en-GB"/>
              </w:rPr>
              <w:t xml:space="preserve"> weighted average price of all </w:t>
            </w:r>
            <w:r w:rsidR="00960F46">
              <w:rPr>
                <w:rFonts w:cstheme="minorHAnsi"/>
                <w:sz w:val="18"/>
                <w:szCs w:val="20"/>
                <w:lang w:val="en-GB"/>
              </w:rPr>
              <w:t>trades</w:t>
            </w:r>
            <w:r w:rsidR="0014357F" w:rsidRPr="00F4291C">
              <w:rPr>
                <w:rFonts w:cstheme="minorHAnsi"/>
                <w:sz w:val="18"/>
                <w:szCs w:val="20"/>
                <w:lang w:val="en-GB"/>
              </w:rPr>
              <w:t xml:space="preserve"> </w:t>
            </w:r>
            <w:r w:rsidR="00492080" w:rsidRPr="00F4291C">
              <w:rPr>
                <w:rFonts w:cstheme="minorHAnsi"/>
                <w:sz w:val="18"/>
                <w:szCs w:val="20"/>
                <w:lang w:val="en-GB"/>
              </w:rPr>
              <w:t xml:space="preserve">performed during the </w:t>
            </w:r>
            <w:r w:rsidR="000625FE">
              <w:rPr>
                <w:rFonts w:cstheme="minorHAnsi"/>
                <w:sz w:val="18"/>
                <w:szCs w:val="20"/>
                <w:lang w:val="en-GB"/>
              </w:rPr>
              <w:t>seance</w:t>
            </w:r>
            <w:r w:rsidR="00492080" w:rsidRPr="00F4291C">
              <w:rPr>
                <w:rFonts w:cstheme="minorHAnsi"/>
                <w:sz w:val="18"/>
                <w:szCs w:val="20"/>
                <w:lang w:val="en-GB"/>
              </w:rPr>
              <w:t xml:space="preserve"> </w:t>
            </w:r>
            <w:r w:rsidR="000625FE">
              <w:rPr>
                <w:rFonts w:cstheme="minorHAnsi"/>
                <w:sz w:val="18"/>
                <w:szCs w:val="20"/>
                <w:lang w:val="en-GB"/>
              </w:rPr>
              <w:t xml:space="preserve">is determined </w:t>
            </w:r>
            <w:r w:rsidR="00492080" w:rsidRPr="00F4291C">
              <w:rPr>
                <w:rFonts w:cstheme="minorHAnsi"/>
                <w:sz w:val="18"/>
                <w:szCs w:val="20"/>
                <w:lang w:val="en-GB"/>
              </w:rPr>
              <w:t>as the “Daily Indicative Price (DIP)”</w:t>
            </w:r>
            <w:r w:rsidRPr="00F4291C">
              <w:rPr>
                <w:rFonts w:cstheme="minorHAnsi"/>
                <w:sz w:val="18"/>
                <w:szCs w:val="20"/>
                <w:lang w:val="en-GB"/>
              </w:rPr>
              <w:t xml:space="preserve">. </w:t>
            </w:r>
          </w:p>
          <w:p w:rsidR="00DD6389" w:rsidRPr="00F4291C" w:rsidRDefault="00DD6389" w:rsidP="0040020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b) </w:t>
            </w:r>
            <w:r w:rsidR="0014357F" w:rsidRPr="00F4291C">
              <w:rPr>
                <w:rFonts w:cstheme="minorHAnsi"/>
                <w:sz w:val="18"/>
                <w:szCs w:val="20"/>
                <w:lang w:val="en-GB"/>
              </w:rPr>
              <w:t xml:space="preserve">If the total matching quantity </w:t>
            </w:r>
            <w:r w:rsidR="00C06748" w:rsidRPr="00F4291C">
              <w:rPr>
                <w:rFonts w:cstheme="minorHAnsi"/>
                <w:sz w:val="18"/>
                <w:szCs w:val="20"/>
                <w:lang w:val="en-GB"/>
              </w:rPr>
              <w:t>within</w:t>
            </w:r>
            <w:r w:rsidR="0014357F" w:rsidRPr="00F4291C">
              <w:rPr>
                <w:rFonts w:cstheme="minorHAnsi"/>
                <w:sz w:val="18"/>
                <w:szCs w:val="20"/>
                <w:lang w:val="en-GB"/>
              </w:rPr>
              <w:t xml:space="preserve"> the </w:t>
            </w:r>
            <w:r w:rsidR="000625FE">
              <w:rPr>
                <w:rFonts w:cstheme="minorHAnsi"/>
                <w:sz w:val="18"/>
                <w:szCs w:val="20"/>
                <w:lang w:val="en-GB"/>
              </w:rPr>
              <w:t>seance</w:t>
            </w:r>
            <w:r w:rsidR="0014357F" w:rsidRPr="00F4291C">
              <w:rPr>
                <w:rFonts w:cstheme="minorHAnsi"/>
                <w:sz w:val="18"/>
                <w:szCs w:val="20"/>
                <w:lang w:val="en-GB"/>
              </w:rPr>
              <w:t xml:space="preserve"> is below 20 lo</w:t>
            </w:r>
            <w:r w:rsidR="00576FC1" w:rsidRPr="00F4291C">
              <w:rPr>
                <w:rFonts w:cstheme="minorHAnsi"/>
                <w:sz w:val="18"/>
                <w:szCs w:val="20"/>
                <w:lang w:val="en-GB"/>
              </w:rPr>
              <w:t>ts for the quarterly contracts</w:t>
            </w:r>
            <w:r w:rsidRPr="00F4291C">
              <w:rPr>
                <w:rFonts w:cstheme="minorHAnsi"/>
                <w:sz w:val="18"/>
                <w:szCs w:val="20"/>
                <w:lang w:val="en-GB"/>
              </w:rPr>
              <w:t xml:space="preserve">, </w:t>
            </w:r>
            <w:r w:rsidR="00FA4120" w:rsidRPr="00F4291C">
              <w:rPr>
                <w:rFonts w:cstheme="minorHAnsi"/>
                <w:sz w:val="18"/>
                <w:szCs w:val="20"/>
                <w:lang w:val="en-GB"/>
              </w:rPr>
              <w:t xml:space="preserve">DIP shall be </w:t>
            </w:r>
            <w:r w:rsidR="0040020F" w:rsidRPr="00F4291C">
              <w:rPr>
                <w:rFonts w:cstheme="minorHAnsi"/>
                <w:sz w:val="18"/>
                <w:szCs w:val="20"/>
                <w:lang w:val="en-GB"/>
              </w:rPr>
              <w:t>the sum of</w:t>
            </w:r>
            <w:r w:rsidR="00E1166F" w:rsidRPr="00F4291C">
              <w:rPr>
                <w:rFonts w:cstheme="minorHAnsi"/>
                <w:sz w:val="18"/>
                <w:szCs w:val="20"/>
                <w:lang w:val="en-GB"/>
              </w:rPr>
              <w:t xml:space="preserve">: </w:t>
            </w:r>
          </w:p>
          <w:p w:rsidR="00DD6389" w:rsidRPr="00F4291C" w:rsidRDefault="00DD6389" w:rsidP="0040020F">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1)</w:t>
            </w:r>
            <w:r w:rsidR="00FA4120" w:rsidRPr="00F4291C">
              <w:rPr>
                <w:rFonts w:cstheme="minorHAnsi"/>
                <w:sz w:val="18"/>
                <w:szCs w:val="20"/>
                <w:lang w:val="en-GB"/>
              </w:rPr>
              <w:t xml:space="preserve"> 75% of the quantity weighted average of the matching prices </w:t>
            </w:r>
            <w:r w:rsidR="0040020F" w:rsidRPr="00F4291C">
              <w:rPr>
                <w:rFonts w:cstheme="minorHAnsi"/>
                <w:sz w:val="18"/>
                <w:szCs w:val="20"/>
                <w:lang w:val="en-GB"/>
              </w:rPr>
              <w:t xml:space="preserve">under </w:t>
            </w:r>
            <w:r w:rsidR="00FA4120" w:rsidRPr="00F4291C">
              <w:rPr>
                <w:rFonts w:cstheme="minorHAnsi"/>
                <w:sz w:val="18"/>
                <w:szCs w:val="20"/>
                <w:lang w:val="en-GB"/>
              </w:rPr>
              <w:t>the relevant contracts</w:t>
            </w:r>
            <w:r w:rsidR="0040020F" w:rsidRPr="00F4291C">
              <w:rPr>
                <w:rFonts w:cstheme="minorHAnsi"/>
                <w:sz w:val="18"/>
                <w:szCs w:val="20"/>
                <w:lang w:val="en-GB"/>
              </w:rPr>
              <w:t xml:space="preserve"> plus </w:t>
            </w:r>
          </w:p>
          <w:p w:rsidR="00DD6389" w:rsidRPr="00F4291C" w:rsidRDefault="00DD6389" w:rsidP="00EA6A3A">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2) </w:t>
            </w:r>
            <w:r w:rsidR="00FA4120" w:rsidRPr="00F4291C">
              <w:rPr>
                <w:rFonts w:cstheme="minorHAnsi"/>
                <w:sz w:val="18"/>
                <w:szCs w:val="20"/>
                <w:lang w:val="en-GB"/>
              </w:rPr>
              <w:t xml:space="preserve">25% of the arithmetic average of the prices </w:t>
            </w:r>
            <w:r w:rsidR="00EA6A3A" w:rsidRPr="00F4291C">
              <w:rPr>
                <w:rFonts w:cstheme="minorHAnsi"/>
                <w:sz w:val="18"/>
                <w:szCs w:val="20"/>
                <w:lang w:val="en-GB"/>
              </w:rPr>
              <w:t>of</w:t>
            </w:r>
            <w:r w:rsidR="00FA4120" w:rsidRPr="00F4291C">
              <w:rPr>
                <w:rFonts w:cstheme="minorHAnsi"/>
                <w:sz w:val="18"/>
                <w:szCs w:val="20"/>
                <w:lang w:val="en-GB"/>
              </w:rPr>
              <w:t xml:space="preserve"> the best </w:t>
            </w:r>
            <w:r w:rsidR="000625FE">
              <w:rPr>
                <w:rFonts w:cstheme="minorHAnsi"/>
                <w:sz w:val="18"/>
                <w:szCs w:val="20"/>
                <w:lang w:val="en-GB"/>
              </w:rPr>
              <w:t>bid</w:t>
            </w:r>
            <w:r w:rsidR="00FA4120" w:rsidRPr="00F4291C">
              <w:rPr>
                <w:rFonts w:cstheme="minorHAnsi"/>
                <w:sz w:val="18"/>
                <w:szCs w:val="20"/>
                <w:lang w:val="en-GB"/>
              </w:rPr>
              <w:t xml:space="preserve"> and </w:t>
            </w:r>
            <w:r w:rsidR="000625FE">
              <w:rPr>
                <w:rFonts w:cstheme="minorHAnsi"/>
                <w:sz w:val="18"/>
                <w:szCs w:val="20"/>
                <w:lang w:val="en-GB"/>
              </w:rPr>
              <w:t xml:space="preserve">ask orders </w:t>
            </w:r>
            <w:r w:rsidR="00FA4120" w:rsidRPr="00F4291C">
              <w:rPr>
                <w:rFonts w:cstheme="minorHAnsi"/>
                <w:sz w:val="18"/>
                <w:szCs w:val="20"/>
                <w:lang w:val="en-GB"/>
              </w:rPr>
              <w:t xml:space="preserve">equal to and more than 20 lots </w:t>
            </w:r>
            <w:r w:rsidR="0040020F" w:rsidRPr="00F4291C">
              <w:rPr>
                <w:rFonts w:cstheme="minorHAnsi"/>
                <w:sz w:val="18"/>
                <w:szCs w:val="20"/>
                <w:lang w:val="en-GB"/>
              </w:rPr>
              <w:t>under</w:t>
            </w:r>
            <w:r w:rsidR="00FA4120" w:rsidRPr="00F4291C">
              <w:rPr>
                <w:rFonts w:cstheme="minorHAnsi"/>
                <w:sz w:val="18"/>
                <w:szCs w:val="20"/>
                <w:lang w:val="en-GB"/>
              </w:rPr>
              <w:t xml:space="preserve"> the quarterly contracts that remain in the </w:t>
            </w:r>
            <w:r w:rsidR="000625FE">
              <w:rPr>
                <w:rFonts w:cstheme="minorHAnsi"/>
                <w:sz w:val="18"/>
                <w:szCs w:val="20"/>
                <w:lang w:val="en-GB"/>
              </w:rPr>
              <w:t>order</w:t>
            </w:r>
            <w:r w:rsidR="00FA4120" w:rsidRPr="00F4291C">
              <w:rPr>
                <w:rFonts w:cstheme="minorHAnsi"/>
                <w:sz w:val="18"/>
                <w:szCs w:val="20"/>
                <w:lang w:val="en-GB"/>
              </w:rPr>
              <w:t xml:space="preserve"> book more at least 900 seconds</w:t>
            </w:r>
            <w:r w:rsidRPr="00F4291C">
              <w:rPr>
                <w:rFonts w:cstheme="minorHAnsi"/>
                <w:sz w:val="18"/>
                <w:szCs w:val="20"/>
                <w:lang w:val="en-GB"/>
              </w:rPr>
              <w:t>.</w:t>
            </w:r>
          </w:p>
          <w:p w:rsidR="00DD6389" w:rsidRPr="00F4291C" w:rsidRDefault="00DD6389" w:rsidP="00EA6A3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c) </w:t>
            </w:r>
            <w:r w:rsidR="00EA6A3A" w:rsidRPr="00F4291C">
              <w:rPr>
                <w:rFonts w:cstheme="minorHAnsi"/>
                <w:sz w:val="18"/>
                <w:szCs w:val="20"/>
                <w:lang w:val="en-GB"/>
              </w:rPr>
              <w:t xml:space="preserve">In case of no matching within the </w:t>
            </w:r>
            <w:r w:rsidR="000625FE">
              <w:rPr>
                <w:rFonts w:cstheme="minorHAnsi"/>
                <w:sz w:val="18"/>
                <w:szCs w:val="20"/>
                <w:lang w:val="en-GB"/>
              </w:rPr>
              <w:t>seance</w:t>
            </w:r>
            <w:r w:rsidR="00EA6A3A" w:rsidRPr="00F4291C">
              <w:rPr>
                <w:rFonts w:cstheme="minorHAnsi"/>
                <w:sz w:val="18"/>
                <w:szCs w:val="20"/>
                <w:lang w:val="en-GB"/>
              </w:rPr>
              <w:t xml:space="preserve">, DIP shall be the arithmetic average of prices of the best </w:t>
            </w:r>
            <w:r w:rsidR="000625FE">
              <w:rPr>
                <w:rFonts w:cstheme="minorHAnsi"/>
                <w:sz w:val="18"/>
                <w:szCs w:val="20"/>
                <w:lang w:val="en-GB"/>
              </w:rPr>
              <w:t>bid and ask orders</w:t>
            </w:r>
            <w:r w:rsidR="00EA6A3A" w:rsidRPr="00F4291C">
              <w:rPr>
                <w:rFonts w:cstheme="minorHAnsi"/>
                <w:sz w:val="18"/>
                <w:szCs w:val="20"/>
                <w:lang w:val="en-GB"/>
              </w:rPr>
              <w:t xml:space="preserve"> equal to and more than 20 lots under the quarterly contracts that remain in the </w:t>
            </w:r>
            <w:r w:rsidR="000625FE">
              <w:rPr>
                <w:rFonts w:cstheme="minorHAnsi"/>
                <w:sz w:val="18"/>
                <w:szCs w:val="20"/>
                <w:lang w:val="en-GB"/>
              </w:rPr>
              <w:t>order</w:t>
            </w:r>
            <w:r w:rsidR="00EA6A3A" w:rsidRPr="00F4291C">
              <w:rPr>
                <w:rFonts w:cstheme="minorHAnsi"/>
                <w:sz w:val="18"/>
                <w:szCs w:val="20"/>
                <w:lang w:val="en-GB"/>
              </w:rPr>
              <w:t xml:space="preserve"> book more at least 900 seconds</w:t>
            </w:r>
            <w:r w:rsidRPr="00F4291C">
              <w:rPr>
                <w:rFonts w:cstheme="minorHAnsi"/>
                <w:sz w:val="18"/>
                <w:szCs w:val="20"/>
                <w:lang w:val="en-GB"/>
              </w:rPr>
              <w:t xml:space="preserve">. </w:t>
            </w:r>
          </w:p>
          <w:p w:rsidR="00DD6389" w:rsidRPr="00F4291C" w:rsidRDefault="00DD6389" w:rsidP="00E83D75">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lastRenderedPageBreak/>
              <w:t xml:space="preserve">ç) </w:t>
            </w:r>
            <w:r w:rsidR="00770CF0" w:rsidRPr="00F4291C">
              <w:rPr>
                <w:rFonts w:cstheme="minorHAnsi"/>
                <w:sz w:val="18"/>
                <w:szCs w:val="20"/>
                <w:lang w:val="en-GB"/>
              </w:rPr>
              <w:t xml:space="preserve">In case the </w:t>
            </w:r>
            <w:r w:rsidR="000625FE">
              <w:rPr>
                <w:rFonts w:cstheme="minorHAnsi"/>
                <w:sz w:val="18"/>
                <w:szCs w:val="20"/>
                <w:lang w:val="en-GB"/>
              </w:rPr>
              <w:t>order</w:t>
            </w:r>
            <w:r w:rsidR="00770CF0" w:rsidRPr="00F4291C">
              <w:rPr>
                <w:rFonts w:cstheme="minorHAnsi"/>
                <w:sz w:val="18"/>
                <w:szCs w:val="20"/>
                <w:lang w:val="en-GB"/>
              </w:rPr>
              <w:t xml:space="preserve"> quantity requirement indicated under Subparagraph (c) is not met, DIP shall be determined </w:t>
            </w:r>
            <w:r w:rsidR="000625FE">
              <w:rPr>
                <w:rFonts w:cstheme="minorHAnsi"/>
                <w:sz w:val="18"/>
                <w:szCs w:val="20"/>
                <w:lang w:val="en-GB"/>
              </w:rPr>
              <w:t xml:space="preserve">according to the methods </w:t>
            </w:r>
            <w:r w:rsidR="00770CF0" w:rsidRPr="00F4291C">
              <w:rPr>
                <w:rFonts w:cstheme="minorHAnsi"/>
                <w:sz w:val="18"/>
                <w:szCs w:val="20"/>
                <w:lang w:val="en-GB"/>
              </w:rPr>
              <w:t>indica</w:t>
            </w:r>
            <w:r w:rsidR="00E83D75" w:rsidRPr="00F4291C">
              <w:rPr>
                <w:rFonts w:cstheme="minorHAnsi"/>
                <w:sz w:val="18"/>
                <w:szCs w:val="20"/>
                <w:lang w:val="en-GB"/>
              </w:rPr>
              <w:t>ted under the fourth paragraph</w:t>
            </w:r>
            <w:r w:rsidRPr="00F4291C">
              <w:rPr>
                <w:rFonts w:cstheme="minorHAnsi"/>
                <w:sz w:val="18"/>
                <w:szCs w:val="20"/>
                <w:lang w:val="en-GB"/>
              </w:rPr>
              <w:t>.</w:t>
            </w:r>
          </w:p>
          <w:p w:rsidR="00A62179" w:rsidRPr="00F4291C" w:rsidRDefault="00A62179" w:rsidP="00E83D75">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(2) </w:t>
            </w:r>
            <w:r w:rsidR="00E83D75" w:rsidRPr="00F4291C">
              <w:rPr>
                <w:rFonts w:cstheme="minorHAnsi"/>
                <w:sz w:val="18"/>
                <w:szCs w:val="20"/>
                <w:lang w:val="en-GB"/>
              </w:rPr>
              <w:t>Trade r</w:t>
            </w:r>
            <w:r w:rsidR="000625FE">
              <w:rPr>
                <w:rFonts w:cstheme="minorHAnsi"/>
                <w:sz w:val="18"/>
                <w:szCs w:val="20"/>
                <w:lang w:val="en-GB"/>
              </w:rPr>
              <w:t>egistration</w:t>
            </w:r>
            <w:r w:rsidR="00E83D75" w:rsidRPr="00F4291C">
              <w:rPr>
                <w:rFonts w:cstheme="minorHAnsi"/>
                <w:sz w:val="18"/>
                <w:szCs w:val="20"/>
                <w:lang w:val="en-GB"/>
              </w:rPr>
              <w:t>s, trading within the scope of default management, and synthetic matching are not taken into account for the calculation of DIP</w:t>
            </w:r>
            <w:r w:rsidRPr="00F4291C">
              <w:rPr>
                <w:rFonts w:cstheme="minorHAnsi"/>
                <w:sz w:val="18"/>
                <w:szCs w:val="20"/>
                <w:lang w:val="en-GB"/>
              </w:rPr>
              <w:t xml:space="preserve">. </w:t>
            </w:r>
          </w:p>
          <w:p w:rsidR="00A62179" w:rsidRPr="00F4291C" w:rsidRDefault="00A62179" w:rsidP="0078129C">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(3) </w:t>
            </w:r>
            <w:r w:rsidR="002A3276" w:rsidRPr="00F4291C">
              <w:rPr>
                <w:rFonts w:cstheme="minorHAnsi"/>
                <w:sz w:val="18"/>
                <w:szCs w:val="20"/>
                <w:lang w:val="en-GB"/>
              </w:rPr>
              <w:t xml:space="preserve">Calculated DIP shall be rounded to the </w:t>
            </w:r>
            <w:r w:rsidR="001E63E5" w:rsidRPr="00F4291C">
              <w:rPr>
                <w:rFonts w:cstheme="minorHAnsi"/>
                <w:sz w:val="18"/>
                <w:szCs w:val="20"/>
                <w:lang w:val="en-GB"/>
              </w:rPr>
              <w:t>nearest</w:t>
            </w:r>
            <w:r w:rsidR="002A3276" w:rsidRPr="00F4291C">
              <w:rPr>
                <w:rFonts w:cstheme="minorHAnsi"/>
                <w:sz w:val="18"/>
                <w:szCs w:val="20"/>
                <w:lang w:val="en-GB"/>
              </w:rPr>
              <w:t xml:space="preserve"> </w:t>
            </w:r>
            <w:r w:rsidR="001E63E5" w:rsidRPr="00F4291C">
              <w:rPr>
                <w:rFonts w:cstheme="minorHAnsi"/>
                <w:sz w:val="18"/>
                <w:szCs w:val="20"/>
                <w:lang w:val="en-GB"/>
              </w:rPr>
              <w:t>two-digit tick size</w:t>
            </w:r>
            <w:r w:rsidR="0078129C" w:rsidRPr="00F4291C">
              <w:rPr>
                <w:rFonts w:cstheme="minorHAnsi"/>
                <w:sz w:val="18"/>
                <w:szCs w:val="20"/>
                <w:lang w:val="en-GB"/>
              </w:rPr>
              <w:t xml:space="preserve"> after the comma</w:t>
            </w:r>
            <w:r w:rsidRPr="00F4291C">
              <w:rPr>
                <w:rFonts w:cstheme="minorHAnsi"/>
                <w:sz w:val="18"/>
                <w:szCs w:val="20"/>
                <w:lang w:val="en-GB"/>
              </w:rPr>
              <w:t>.</w:t>
            </w:r>
          </w:p>
          <w:p w:rsidR="00DD6389" w:rsidRPr="00F4291C" w:rsidRDefault="00A62179" w:rsidP="000625FE">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4291C">
              <w:rPr>
                <w:rFonts w:cstheme="minorHAnsi"/>
                <w:sz w:val="18"/>
                <w:szCs w:val="20"/>
                <w:lang w:val="en-GB"/>
              </w:rPr>
              <w:t xml:space="preserve">(4) </w:t>
            </w:r>
            <w:r w:rsidR="002F7581" w:rsidRPr="00F4291C">
              <w:rPr>
                <w:rFonts w:cstheme="minorHAnsi"/>
                <w:sz w:val="18"/>
                <w:szCs w:val="20"/>
                <w:lang w:val="en-GB"/>
              </w:rPr>
              <w:t xml:space="preserve">In case DIP cannot be calculated as indicated under the first paragraph or in case the Commission considers that the calculated price does not reflect the market correctly, first the theoretical price determination </w:t>
            </w:r>
            <w:r w:rsidR="000625FE">
              <w:rPr>
                <w:rFonts w:cstheme="minorHAnsi"/>
                <w:sz w:val="18"/>
                <w:szCs w:val="20"/>
                <w:lang w:val="en-GB"/>
              </w:rPr>
              <w:t>method</w:t>
            </w:r>
            <w:r w:rsidR="002F7581" w:rsidRPr="00F4291C">
              <w:rPr>
                <w:rFonts w:cstheme="minorHAnsi"/>
                <w:sz w:val="18"/>
                <w:szCs w:val="20"/>
                <w:lang w:val="en-GB"/>
              </w:rPr>
              <w:t xml:space="preserve"> shall be initiated. In case no price can be calculated through theoretical price determination </w:t>
            </w:r>
            <w:r w:rsidR="000625FE">
              <w:rPr>
                <w:rFonts w:cstheme="minorHAnsi"/>
                <w:sz w:val="18"/>
                <w:szCs w:val="20"/>
                <w:lang w:val="en-GB"/>
              </w:rPr>
              <w:t>method</w:t>
            </w:r>
            <w:r w:rsidR="002F7581" w:rsidRPr="00F4291C">
              <w:rPr>
                <w:rFonts w:cstheme="minorHAnsi"/>
                <w:sz w:val="18"/>
                <w:szCs w:val="20"/>
                <w:lang w:val="en-GB"/>
              </w:rPr>
              <w:t xml:space="preserve">, DIP shall be determined, as per Commission’s decision, using survey </w:t>
            </w:r>
            <w:r w:rsidR="00F4291C" w:rsidRPr="00F4291C">
              <w:rPr>
                <w:rFonts w:cstheme="minorHAnsi"/>
                <w:sz w:val="18"/>
                <w:szCs w:val="20"/>
                <w:lang w:val="en-GB"/>
              </w:rPr>
              <w:t xml:space="preserve">and </w:t>
            </w:r>
            <w:r w:rsidR="000625FE">
              <w:rPr>
                <w:rFonts w:cstheme="minorHAnsi"/>
                <w:sz w:val="18"/>
                <w:szCs w:val="20"/>
                <w:lang w:val="en-GB"/>
              </w:rPr>
              <w:t>auction</w:t>
            </w:r>
            <w:r w:rsidR="00F4291C" w:rsidRPr="00F4291C">
              <w:rPr>
                <w:rFonts w:cstheme="minorHAnsi"/>
                <w:sz w:val="18"/>
                <w:szCs w:val="20"/>
                <w:lang w:val="en-GB"/>
              </w:rPr>
              <w:t xml:space="preserve"> </w:t>
            </w:r>
            <w:r w:rsidR="000625FE">
              <w:rPr>
                <w:rFonts w:cstheme="minorHAnsi"/>
                <w:sz w:val="18"/>
                <w:szCs w:val="20"/>
                <w:lang w:val="en-GB"/>
              </w:rPr>
              <w:t>methods</w:t>
            </w:r>
            <w:r w:rsidR="00F4291C" w:rsidRPr="00F4291C">
              <w:rPr>
                <w:rFonts w:cstheme="minorHAnsi"/>
                <w:sz w:val="18"/>
                <w:szCs w:val="20"/>
                <w:lang w:val="en-GB"/>
              </w:rPr>
              <w:t xml:space="preserve"> separately or together</w:t>
            </w:r>
            <w:r w:rsidRPr="00F4291C">
              <w:rPr>
                <w:rFonts w:cstheme="minorHAnsi"/>
                <w:sz w:val="18"/>
                <w:szCs w:val="20"/>
                <w:lang w:val="en-GB"/>
              </w:rPr>
              <w:t xml:space="preserve">. </w:t>
            </w:r>
          </w:p>
        </w:tc>
      </w:tr>
      <w:tr w:rsidR="00DD6389" w:rsidRPr="00F4291C" w:rsidTr="00B74618">
        <w:tc>
          <w:tcPr>
            <w:tcW w:w="2502" w:type="dxa"/>
          </w:tcPr>
          <w:p w:rsidR="00DD6389" w:rsidRPr="00F4291C" w:rsidRDefault="00F4291C" w:rsidP="00F4291C">
            <w:pPr>
              <w:spacing w:after="160" w:line="276" w:lineRule="auto"/>
              <w:jc w:val="both"/>
              <w:cnfStyle w:val="001000000000" w:firstRow="0" w:lastRow="0" w:firstColumn="1"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lastRenderedPageBreak/>
              <w:t xml:space="preserve">Opening Price and Daily Price Change Limit </w:t>
            </w:r>
          </w:p>
        </w:tc>
        <w:tc>
          <w:tcPr>
            <w:tcW w:w="6673" w:type="dxa"/>
          </w:tcPr>
          <w:p w:rsidR="00DD6389" w:rsidRPr="00F4291C" w:rsidRDefault="00F4291C" w:rsidP="001463B7">
            <w:pPr>
              <w:spacing w:after="160" w:line="276" w:lineRule="auto"/>
              <w:jc w:val="both"/>
              <w:rPr>
                <w:rFonts w:cstheme="minorHAnsi"/>
                <w:sz w:val="18"/>
                <w:szCs w:val="20"/>
                <w:lang w:val="en-GB"/>
              </w:rPr>
            </w:pPr>
            <w:r w:rsidRPr="00F4291C">
              <w:rPr>
                <w:rFonts w:cstheme="minorHAnsi"/>
                <w:sz w:val="18"/>
                <w:szCs w:val="20"/>
                <w:lang w:val="en-GB"/>
              </w:rPr>
              <w:t>Opening Price</w:t>
            </w:r>
            <w:r w:rsidR="00DD6389" w:rsidRPr="00F4291C">
              <w:rPr>
                <w:rFonts w:cstheme="minorHAnsi"/>
                <w:sz w:val="18"/>
                <w:szCs w:val="20"/>
                <w:lang w:val="en-GB"/>
              </w:rPr>
              <w:t>:</w:t>
            </w:r>
            <w:r w:rsidR="000625FE">
              <w:rPr>
                <w:rFonts w:cstheme="minorHAnsi"/>
                <w:sz w:val="18"/>
                <w:szCs w:val="20"/>
                <w:lang w:val="en-GB"/>
              </w:rPr>
              <w:t xml:space="preserve"> </w:t>
            </w:r>
            <w:r w:rsidR="000625FE" w:rsidRPr="000625FE">
              <w:rPr>
                <w:rFonts w:cstheme="minorHAnsi"/>
                <w:sz w:val="18"/>
                <w:szCs w:val="20"/>
                <w:lang w:val="en-GB"/>
              </w:rPr>
              <w:t>On the first trading day of a contract or if trading of a contract is temporarily suspended and reopened for trade, it is equal to the basis price determined for the relevant contract.</w:t>
            </w:r>
            <w:r w:rsidR="001463B7">
              <w:rPr>
                <w:rFonts w:cstheme="minorHAnsi"/>
                <w:sz w:val="18"/>
                <w:szCs w:val="20"/>
                <w:lang w:val="en-GB"/>
              </w:rPr>
              <w:t xml:space="preserve"> For</w:t>
            </w:r>
            <w:r w:rsidR="00960F46">
              <w:rPr>
                <w:rFonts w:cstheme="minorHAnsi"/>
                <w:sz w:val="18"/>
                <w:szCs w:val="20"/>
                <w:lang w:val="en-GB"/>
              </w:rPr>
              <w:t xml:space="preserve"> </w:t>
            </w:r>
            <w:r w:rsidR="001463B7">
              <w:rPr>
                <w:rFonts w:cstheme="minorHAnsi"/>
                <w:sz w:val="18"/>
                <w:szCs w:val="20"/>
                <w:lang w:val="en-GB"/>
              </w:rPr>
              <w:t xml:space="preserve">the trading days following the first trading day, it is equal to </w:t>
            </w:r>
            <w:r w:rsidR="00960F46">
              <w:rPr>
                <w:rFonts w:cstheme="minorHAnsi"/>
                <w:sz w:val="18"/>
                <w:szCs w:val="20"/>
                <w:lang w:val="en-GB"/>
              </w:rPr>
              <w:t xml:space="preserve">the last daily </w:t>
            </w:r>
            <w:r w:rsidR="009226CA">
              <w:rPr>
                <w:rFonts w:cstheme="minorHAnsi"/>
                <w:sz w:val="18"/>
                <w:szCs w:val="20"/>
                <w:lang w:val="en-GB"/>
              </w:rPr>
              <w:t>index</w:t>
            </w:r>
            <w:bookmarkStart w:id="2" w:name="_GoBack"/>
            <w:bookmarkEnd w:id="2"/>
            <w:r w:rsidR="00960F46">
              <w:rPr>
                <w:rFonts w:cstheme="minorHAnsi"/>
                <w:sz w:val="18"/>
                <w:szCs w:val="20"/>
                <w:lang w:val="en-GB"/>
              </w:rPr>
              <w:t xml:space="preserve"> price announced</w:t>
            </w:r>
            <w:r w:rsidR="00DD6389" w:rsidRPr="00F4291C">
              <w:rPr>
                <w:rFonts w:cstheme="minorHAnsi"/>
                <w:sz w:val="18"/>
                <w:szCs w:val="20"/>
                <w:lang w:val="en-GB"/>
              </w:rPr>
              <w:t>.</w:t>
            </w:r>
            <w:r w:rsidR="00FE7C77" w:rsidRPr="00F4291C">
              <w:rPr>
                <w:rFonts w:cstheme="minorHAnsi"/>
                <w:sz w:val="18"/>
                <w:szCs w:val="20"/>
                <w:lang w:val="en-GB"/>
              </w:rPr>
              <w:t xml:space="preserve"> </w:t>
            </w:r>
          </w:p>
          <w:p w:rsidR="00DD6389" w:rsidRPr="00F4291C" w:rsidRDefault="001463B7" w:rsidP="00E26D67">
            <w:pPr>
              <w:spacing w:after="160" w:line="276" w:lineRule="auto"/>
              <w:jc w:val="both"/>
              <w:rPr>
                <w:rFonts w:cstheme="minorHAnsi"/>
                <w:sz w:val="18"/>
                <w:szCs w:val="20"/>
                <w:lang w:val="en-GB"/>
              </w:rPr>
            </w:pPr>
            <w:r>
              <w:rPr>
                <w:rFonts w:cstheme="minorHAnsi"/>
                <w:sz w:val="18"/>
                <w:szCs w:val="20"/>
                <w:lang w:val="en-GB"/>
              </w:rPr>
              <w:t xml:space="preserve">Daily price change limit is </w:t>
            </w:r>
            <w:r w:rsidRPr="00F4291C">
              <w:rPr>
                <w:rFonts w:cstheme="minorHAnsi"/>
                <w:sz w:val="18"/>
                <w:szCs w:val="20"/>
                <w:lang w:val="en-GB"/>
              </w:rPr>
              <w:t>±7%</w:t>
            </w:r>
            <w:r>
              <w:rPr>
                <w:rFonts w:cstheme="minorHAnsi"/>
                <w:sz w:val="18"/>
                <w:szCs w:val="20"/>
                <w:lang w:val="en-GB"/>
              </w:rPr>
              <w:t xml:space="preserve"> of the opening price determined for each contract. In case the lower or upper limit determined according to such method does not correspond to the tick, the upper limit shall be rounded to the next upper tick and the lower limit shall be </w:t>
            </w:r>
            <w:r w:rsidR="00E26D67">
              <w:rPr>
                <w:rFonts w:cstheme="minorHAnsi"/>
                <w:sz w:val="18"/>
                <w:szCs w:val="20"/>
                <w:lang w:val="en-GB"/>
              </w:rPr>
              <w:t>rounded to the next lower tick</w:t>
            </w:r>
            <w:r w:rsidR="00DD6389" w:rsidRPr="00F4291C">
              <w:rPr>
                <w:rFonts w:cstheme="minorHAnsi"/>
                <w:sz w:val="18"/>
                <w:szCs w:val="20"/>
                <w:lang w:val="en-GB"/>
              </w:rPr>
              <w:t>.</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E26D67" w:rsidP="00A62179">
            <w:pPr>
              <w:spacing w:after="160" w:line="276" w:lineRule="auto"/>
              <w:jc w:val="both"/>
              <w:rPr>
                <w:rFonts w:cstheme="minorHAnsi"/>
                <w:sz w:val="18"/>
                <w:szCs w:val="20"/>
                <w:lang w:val="en-GB"/>
              </w:rPr>
            </w:pPr>
            <w:r>
              <w:rPr>
                <w:rFonts w:cstheme="minorHAnsi"/>
                <w:sz w:val="18"/>
                <w:szCs w:val="20"/>
                <w:lang w:val="en-GB"/>
              </w:rPr>
              <w:t xml:space="preserve">Delivery Quarters </w:t>
            </w:r>
          </w:p>
        </w:tc>
        <w:tc>
          <w:tcPr>
            <w:tcW w:w="6673" w:type="dxa"/>
          </w:tcPr>
          <w:p w:rsidR="00DD6389" w:rsidRPr="00F4291C" w:rsidRDefault="00E26D67" w:rsidP="00E26D6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Maximum 8 quarters following the current quarter period</w:t>
            </w:r>
            <w:r w:rsidR="00DD6389" w:rsidRPr="00F4291C">
              <w:rPr>
                <w:rFonts w:cstheme="minorHAnsi"/>
                <w:sz w:val="18"/>
                <w:szCs w:val="20"/>
                <w:lang w:val="en-GB"/>
              </w:rPr>
              <w:t>.</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8A42D0" w:rsidP="00A62179">
            <w:pPr>
              <w:spacing w:after="160" w:line="276" w:lineRule="auto"/>
              <w:jc w:val="both"/>
              <w:rPr>
                <w:rFonts w:cstheme="minorHAnsi"/>
                <w:sz w:val="18"/>
                <w:szCs w:val="20"/>
                <w:lang w:val="en-GB"/>
              </w:rPr>
            </w:pPr>
            <w:r>
              <w:rPr>
                <w:rFonts w:cstheme="minorHAnsi"/>
                <w:sz w:val="18"/>
                <w:szCs w:val="20"/>
                <w:lang w:val="en-GB"/>
              </w:rPr>
              <w:t xml:space="preserve">Last Trading Day </w:t>
            </w:r>
          </w:p>
        </w:tc>
        <w:tc>
          <w:tcPr>
            <w:tcW w:w="6673" w:type="dxa"/>
          </w:tcPr>
          <w:p w:rsidR="00DD6389" w:rsidRPr="00F4291C" w:rsidRDefault="006215B6" w:rsidP="00AE0F12">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Third-to-last business day before the start of each delivery (</w:t>
            </w:r>
            <w:r w:rsidR="00AE0F12">
              <w:rPr>
                <w:rFonts w:cstheme="minorHAnsi"/>
                <w:sz w:val="18"/>
                <w:szCs w:val="20"/>
                <w:lang w:val="en-GB"/>
              </w:rPr>
              <w:t>maturity</w:t>
            </w:r>
            <w:r>
              <w:rPr>
                <w:rFonts w:cstheme="minorHAnsi"/>
                <w:sz w:val="18"/>
                <w:szCs w:val="20"/>
                <w:lang w:val="en-GB"/>
              </w:rPr>
              <w:t xml:space="preserve">) quarter. In case the domestic markets are open for half day due to public holiday, the last trading day shall be the preceding business day. </w:t>
            </w:r>
            <w:r w:rsidR="00346EA3">
              <w:rPr>
                <w:rFonts w:cstheme="minorHAnsi"/>
                <w:sz w:val="18"/>
                <w:szCs w:val="20"/>
                <w:lang w:val="en-GB"/>
              </w:rPr>
              <w:t>T</w:t>
            </w:r>
            <w:r w:rsidR="00346EA3" w:rsidRPr="008045A2">
              <w:rPr>
                <w:rFonts w:cstheme="minorHAnsi"/>
                <w:sz w:val="18"/>
                <w:szCs w:val="20"/>
                <w:lang w:val="en-GB"/>
              </w:rPr>
              <w:t>rading continue</w:t>
            </w:r>
            <w:r w:rsidR="00346EA3">
              <w:rPr>
                <w:rFonts w:cstheme="minorHAnsi"/>
                <w:sz w:val="18"/>
                <w:szCs w:val="20"/>
                <w:lang w:val="en-GB"/>
              </w:rPr>
              <w:t>s</w:t>
            </w:r>
            <w:r w:rsidR="00346EA3" w:rsidRPr="008045A2">
              <w:rPr>
                <w:rFonts w:cstheme="minorHAnsi"/>
                <w:sz w:val="18"/>
                <w:szCs w:val="20"/>
                <w:lang w:val="en-GB"/>
              </w:rPr>
              <w:t xml:space="preserve"> till the end of trading</w:t>
            </w:r>
            <w:r w:rsidR="00346EA3">
              <w:rPr>
                <w:rFonts w:cstheme="minorHAnsi"/>
                <w:sz w:val="18"/>
                <w:szCs w:val="20"/>
                <w:lang w:val="en-GB"/>
              </w:rPr>
              <w:t xml:space="preserve"> hours on the last trading day</w:t>
            </w:r>
            <w:r w:rsidR="00DD6389" w:rsidRPr="00F4291C">
              <w:rPr>
                <w:rFonts w:cstheme="minorHAnsi"/>
                <w:sz w:val="18"/>
                <w:szCs w:val="20"/>
                <w:lang w:val="en-GB"/>
              </w:rPr>
              <w:t xml:space="preserve">. </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F54B3A" w:rsidP="00A62179">
            <w:pPr>
              <w:spacing w:after="160" w:line="276" w:lineRule="auto"/>
              <w:jc w:val="both"/>
              <w:rPr>
                <w:rFonts w:cstheme="minorHAnsi"/>
                <w:sz w:val="18"/>
                <w:szCs w:val="20"/>
                <w:lang w:val="en-GB"/>
              </w:rPr>
            </w:pPr>
            <w:r>
              <w:rPr>
                <w:rFonts w:cstheme="minorHAnsi"/>
                <w:sz w:val="18"/>
                <w:szCs w:val="20"/>
                <w:lang w:val="en-GB"/>
              </w:rPr>
              <w:t xml:space="preserve">Trading Hours </w:t>
            </w:r>
          </w:p>
        </w:tc>
        <w:tc>
          <w:tcPr>
            <w:tcW w:w="6673" w:type="dxa"/>
          </w:tcPr>
          <w:p w:rsidR="00DD6389" w:rsidRPr="00F4291C" w:rsidRDefault="00042FA8" w:rsidP="00346EA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 xml:space="preserve">Once the relevant quarterly contract is </w:t>
            </w:r>
            <w:r w:rsidR="00346EA3">
              <w:rPr>
                <w:rFonts w:cstheme="minorHAnsi"/>
                <w:sz w:val="18"/>
                <w:szCs w:val="20"/>
                <w:lang w:val="en-GB"/>
              </w:rPr>
              <w:t>opened</w:t>
            </w:r>
            <w:r>
              <w:rPr>
                <w:rFonts w:cstheme="minorHAnsi"/>
                <w:sz w:val="18"/>
                <w:szCs w:val="20"/>
                <w:lang w:val="en-GB"/>
              </w:rPr>
              <w:t xml:space="preserve"> for trading, it can be traded until the end of the last trading day.  </w:t>
            </w:r>
            <w:r w:rsidR="00F54B3A">
              <w:rPr>
                <w:rFonts w:cstheme="minorHAnsi"/>
                <w:sz w:val="18"/>
                <w:szCs w:val="20"/>
                <w:lang w:val="en-GB"/>
              </w:rPr>
              <w:t>Trading hours</w:t>
            </w:r>
            <w:r>
              <w:rPr>
                <w:rFonts w:cstheme="minorHAnsi"/>
                <w:sz w:val="18"/>
                <w:szCs w:val="20"/>
                <w:lang w:val="en-GB"/>
              </w:rPr>
              <w:t xml:space="preserve"> shall start at 13:00 and </w:t>
            </w:r>
            <w:r w:rsidR="00346EA3">
              <w:rPr>
                <w:rFonts w:cstheme="minorHAnsi"/>
                <w:sz w:val="18"/>
                <w:szCs w:val="20"/>
                <w:lang w:val="en-GB"/>
              </w:rPr>
              <w:t>end</w:t>
            </w:r>
            <w:r w:rsidR="00F54B3A">
              <w:rPr>
                <w:rFonts w:cstheme="minorHAnsi"/>
                <w:sz w:val="18"/>
                <w:szCs w:val="20"/>
                <w:lang w:val="en-GB"/>
              </w:rPr>
              <w:t xml:space="preserve"> at 16:00 on each business day </w:t>
            </w:r>
            <w:r>
              <w:rPr>
                <w:rFonts w:cstheme="minorHAnsi"/>
                <w:sz w:val="18"/>
                <w:szCs w:val="20"/>
                <w:lang w:val="en-GB"/>
              </w:rPr>
              <w:t>(excluding half business days)</w:t>
            </w:r>
            <w:r w:rsidR="00DD6389" w:rsidRPr="00F4291C">
              <w:rPr>
                <w:rFonts w:cstheme="minorHAnsi"/>
                <w:sz w:val="18"/>
                <w:szCs w:val="20"/>
                <w:lang w:val="en-GB"/>
              </w:rPr>
              <w:t>.</w:t>
            </w:r>
          </w:p>
        </w:tc>
      </w:tr>
      <w:tr w:rsidR="00DD6389" w:rsidRPr="00F4291C" w:rsidTr="00B5704D">
        <w:trPr>
          <w:trHeight w:val="909"/>
        </w:trPr>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042FA8" w:rsidP="00A62179">
            <w:pPr>
              <w:spacing w:after="160" w:line="276" w:lineRule="auto"/>
              <w:jc w:val="both"/>
              <w:rPr>
                <w:rFonts w:cstheme="minorHAnsi"/>
                <w:sz w:val="18"/>
                <w:szCs w:val="20"/>
                <w:lang w:val="en-GB"/>
              </w:rPr>
            </w:pPr>
            <w:r>
              <w:rPr>
                <w:rFonts w:cstheme="minorHAnsi"/>
                <w:sz w:val="18"/>
                <w:szCs w:val="20"/>
                <w:lang w:val="en-GB"/>
              </w:rPr>
              <w:t xml:space="preserve">Trading Method </w:t>
            </w:r>
          </w:p>
        </w:tc>
        <w:tc>
          <w:tcPr>
            <w:tcW w:w="6673" w:type="dxa"/>
          </w:tcPr>
          <w:p w:rsidR="00DD6389" w:rsidRPr="00F4291C" w:rsidRDefault="00042FA8" w:rsidP="00346EA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Power Futures Market is a market that operates according to the continuous trading method</w:t>
            </w:r>
            <w:r w:rsidR="00DD6389" w:rsidRPr="00F4291C">
              <w:rPr>
                <w:rFonts w:cstheme="minorHAnsi"/>
                <w:sz w:val="18"/>
                <w:szCs w:val="20"/>
                <w:lang w:val="en-GB"/>
              </w:rPr>
              <w:t xml:space="preserve">. </w:t>
            </w:r>
            <w:r w:rsidR="00612700">
              <w:rPr>
                <w:rFonts w:cstheme="minorHAnsi"/>
                <w:sz w:val="18"/>
                <w:szCs w:val="20"/>
                <w:lang w:val="en-GB"/>
              </w:rPr>
              <w:t xml:space="preserve">In the Power Futures Market, </w:t>
            </w:r>
            <w:r w:rsidR="00346EA3">
              <w:rPr>
                <w:rFonts w:cstheme="minorHAnsi"/>
                <w:sz w:val="18"/>
                <w:szCs w:val="20"/>
                <w:lang w:val="en-GB"/>
              </w:rPr>
              <w:t>orders</w:t>
            </w:r>
            <w:r w:rsidR="0087727C">
              <w:rPr>
                <w:rFonts w:cstheme="minorHAnsi"/>
                <w:sz w:val="18"/>
                <w:szCs w:val="20"/>
                <w:lang w:val="en-GB"/>
              </w:rPr>
              <w:t xml:space="preserve"> can be entered, updated, cancelled or inactivated until</w:t>
            </w:r>
            <w:r w:rsidR="005F58C5">
              <w:rPr>
                <w:rFonts w:cstheme="minorHAnsi"/>
                <w:sz w:val="18"/>
                <w:szCs w:val="20"/>
                <w:lang w:val="en-GB"/>
              </w:rPr>
              <w:t xml:space="preserve"> 16:00 on the last trading day</w:t>
            </w:r>
            <w:r w:rsidR="00DD6389" w:rsidRPr="00F4291C">
              <w:rPr>
                <w:rFonts w:cstheme="minorHAnsi"/>
                <w:sz w:val="18"/>
                <w:szCs w:val="20"/>
                <w:lang w:val="en-GB"/>
              </w:rPr>
              <w:t>.</w:t>
            </w:r>
          </w:p>
        </w:tc>
      </w:tr>
      <w:tr w:rsidR="00DD6389" w:rsidRPr="00F4291C" w:rsidTr="00B5704D">
        <w:trPr>
          <w:trHeight w:val="1078"/>
        </w:trPr>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5F58C5" w:rsidP="00A62179">
            <w:pPr>
              <w:spacing w:after="160" w:line="276" w:lineRule="auto"/>
              <w:jc w:val="both"/>
              <w:rPr>
                <w:rFonts w:cstheme="minorHAnsi"/>
                <w:sz w:val="18"/>
                <w:szCs w:val="20"/>
                <w:lang w:val="en-GB"/>
              </w:rPr>
            </w:pPr>
            <w:r>
              <w:rPr>
                <w:rFonts w:cstheme="minorHAnsi"/>
                <w:sz w:val="18"/>
                <w:szCs w:val="20"/>
                <w:lang w:val="en-GB"/>
              </w:rPr>
              <w:t xml:space="preserve">Settlement Method </w:t>
            </w:r>
          </w:p>
        </w:tc>
        <w:tc>
          <w:tcPr>
            <w:tcW w:w="6673" w:type="dxa"/>
          </w:tcPr>
          <w:p w:rsidR="00DD6389" w:rsidRPr="00F4291C" w:rsidRDefault="005F58C5" w:rsidP="00346EA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 xml:space="preserve">Physical Delivery. </w:t>
            </w:r>
            <w:r w:rsidR="009D133B">
              <w:rPr>
                <w:rFonts w:cstheme="minorHAnsi"/>
                <w:sz w:val="18"/>
                <w:szCs w:val="20"/>
                <w:lang w:val="en-GB"/>
              </w:rPr>
              <w:t xml:space="preserve">Such quantity of the </w:t>
            </w:r>
            <w:r w:rsidR="00346EA3">
              <w:rPr>
                <w:rFonts w:cstheme="minorHAnsi"/>
                <w:sz w:val="18"/>
                <w:szCs w:val="20"/>
                <w:lang w:val="en-GB"/>
              </w:rPr>
              <w:t>energy</w:t>
            </w:r>
            <w:r w:rsidR="009D133B">
              <w:rPr>
                <w:rFonts w:cstheme="minorHAnsi"/>
                <w:sz w:val="18"/>
                <w:szCs w:val="20"/>
                <w:lang w:val="en-GB"/>
              </w:rPr>
              <w:t xml:space="preserve"> as agreed under the contact shall be supplied/delivered to the relevant bid</w:t>
            </w:r>
            <w:r w:rsidR="00346EA3">
              <w:rPr>
                <w:rFonts w:cstheme="minorHAnsi"/>
                <w:sz w:val="18"/>
                <w:szCs w:val="20"/>
                <w:lang w:val="en-GB"/>
              </w:rPr>
              <w:t>ding zone</w:t>
            </w:r>
            <w:r w:rsidR="009D133B">
              <w:rPr>
                <w:rFonts w:cstheme="minorHAnsi"/>
                <w:sz w:val="18"/>
                <w:szCs w:val="20"/>
                <w:lang w:val="en-GB"/>
              </w:rPr>
              <w:t xml:space="preserve"> by t</w:t>
            </w:r>
            <w:r w:rsidR="00D51DC6">
              <w:rPr>
                <w:rFonts w:cstheme="minorHAnsi"/>
                <w:sz w:val="18"/>
                <w:szCs w:val="20"/>
                <w:lang w:val="en-GB"/>
              </w:rPr>
              <w:t xml:space="preserve">he seller party of the contract (short position holder) </w:t>
            </w:r>
            <w:r w:rsidR="009D133B">
              <w:rPr>
                <w:rFonts w:cstheme="minorHAnsi"/>
                <w:sz w:val="18"/>
                <w:szCs w:val="20"/>
                <w:lang w:val="en-GB"/>
              </w:rPr>
              <w:t>on an uninterrupted basis</w:t>
            </w:r>
            <w:r w:rsidR="007B0246">
              <w:rPr>
                <w:rFonts w:cstheme="minorHAnsi"/>
                <w:sz w:val="18"/>
                <w:szCs w:val="20"/>
                <w:lang w:val="en-GB"/>
              </w:rPr>
              <w:t xml:space="preserve"> </w:t>
            </w:r>
            <w:r w:rsidR="009D133B">
              <w:rPr>
                <w:rFonts w:cstheme="minorHAnsi"/>
                <w:sz w:val="18"/>
                <w:szCs w:val="20"/>
                <w:lang w:val="en-GB"/>
              </w:rPr>
              <w:t xml:space="preserve">and </w:t>
            </w:r>
            <w:r w:rsidR="007B0246">
              <w:rPr>
                <w:rFonts w:cstheme="minorHAnsi"/>
                <w:sz w:val="18"/>
                <w:szCs w:val="20"/>
                <w:lang w:val="en-GB"/>
              </w:rPr>
              <w:t xml:space="preserve">every hour </w:t>
            </w:r>
            <w:r w:rsidR="006F4755">
              <w:rPr>
                <w:rFonts w:cstheme="minorHAnsi"/>
                <w:sz w:val="18"/>
                <w:szCs w:val="20"/>
                <w:lang w:val="en-GB"/>
              </w:rPr>
              <w:t>throughout the delivery quarter</w:t>
            </w:r>
            <w:r w:rsidR="00DD6389" w:rsidRPr="00F4291C">
              <w:rPr>
                <w:rFonts w:cstheme="minorHAnsi"/>
                <w:sz w:val="18"/>
                <w:szCs w:val="20"/>
                <w:lang w:val="en-GB"/>
              </w:rPr>
              <w:t xml:space="preserve">. </w:t>
            </w:r>
            <w:r w:rsidR="006F4755">
              <w:rPr>
                <w:rFonts w:cstheme="minorHAnsi"/>
                <w:sz w:val="18"/>
                <w:szCs w:val="20"/>
                <w:lang w:val="en-GB"/>
              </w:rPr>
              <w:t xml:space="preserve">Such quantity of the </w:t>
            </w:r>
            <w:r w:rsidR="00346EA3">
              <w:rPr>
                <w:rFonts w:cstheme="minorHAnsi"/>
                <w:sz w:val="18"/>
                <w:szCs w:val="20"/>
                <w:lang w:val="en-GB"/>
              </w:rPr>
              <w:t>energy</w:t>
            </w:r>
            <w:r w:rsidR="006F4755">
              <w:rPr>
                <w:rFonts w:cstheme="minorHAnsi"/>
                <w:sz w:val="18"/>
                <w:szCs w:val="20"/>
                <w:lang w:val="en-GB"/>
              </w:rPr>
              <w:t xml:space="preserve"> as agreed under the contact shall be drawn/received in relevant bid</w:t>
            </w:r>
            <w:r w:rsidR="00346EA3">
              <w:rPr>
                <w:rFonts w:cstheme="minorHAnsi"/>
                <w:sz w:val="18"/>
                <w:szCs w:val="20"/>
                <w:lang w:val="en-GB"/>
              </w:rPr>
              <w:t>ding zone</w:t>
            </w:r>
            <w:r w:rsidR="006F4755">
              <w:rPr>
                <w:rFonts w:cstheme="minorHAnsi"/>
                <w:sz w:val="18"/>
                <w:szCs w:val="20"/>
                <w:lang w:val="en-GB"/>
              </w:rPr>
              <w:t xml:space="preserve"> by the buyer party of the contact (long position holder) on an uninterrupted basis and every hour throughout the delivery quarter</w:t>
            </w:r>
            <w:r w:rsidR="00DD6389" w:rsidRPr="00F4291C">
              <w:rPr>
                <w:rFonts w:cstheme="minorHAnsi"/>
                <w:sz w:val="18"/>
                <w:szCs w:val="20"/>
                <w:lang w:val="en-GB"/>
              </w:rPr>
              <w:t>.</w:t>
            </w:r>
          </w:p>
        </w:tc>
      </w:tr>
      <w:tr w:rsidR="00DD6389" w:rsidRPr="00F4291C" w:rsidTr="00B5704D">
        <w:trPr>
          <w:trHeight w:val="2116"/>
        </w:trPr>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7B0246" w:rsidP="00A62179">
            <w:pPr>
              <w:spacing w:after="160" w:line="276" w:lineRule="auto"/>
              <w:jc w:val="both"/>
              <w:rPr>
                <w:rFonts w:cstheme="minorHAnsi"/>
                <w:sz w:val="18"/>
                <w:szCs w:val="20"/>
                <w:lang w:val="en-GB"/>
              </w:rPr>
            </w:pPr>
            <w:r>
              <w:rPr>
                <w:rFonts w:cstheme="minorHAnsi"/>
                <w:sz w:val="18"/>
                <w:szCs w:val="20"/>
                <w:lang w:val="en-GB"/>
              </w:rPr>
              <w:t xml:space="preserve">Position Limit </w:t>
            </w:r>
          </w:p>
        </w:tc>
        <w:tc>
          <w:tcPr>
            <w:tcW w:w="6673" w:type="dxa"/>
          </w:tcPr>
          <w:p w:rsidR="00DD6389" w:rsidRPr="00F61F03" w:rsidRDefault="000C3A25" w:rsidP="00040D9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 xml:space="preserve">According to the reference scenario </w:t>
            </w:r>
            <w:r w:rsidR="00485647">
              <w:rPr>
                <w:rFonts w:cstheme="minorHAnsi"/>
                <w:sz w:val="18"/>
                <w:szCs w:val="20"/>
                <w:lang w:val="en-GB"/>
              </w:rPr>
              <w:t xml:space="preserve">contained </w:t>
            </w:r>
            <w:r>
              <w:rPr>
                <w:rFonts w:cstheme="minorHAnsi"/>
                <w:sz w:val="18"/>
                <w:szCs w:val="20"/>
                <w:lang w:val="en-GB"/>
              </w:rPr>
              <w:t xml:space="preserve">in the Report on Projection of </w:t>
            </w:r>
            <w:r w:rsidR="00730754">
              <w:rPr>
                <w:rFonts w:cstheme="minorHAnsi"/>
                <w:sz w:val="18"/>
                <w:szCs w:val="20"/>
                <w:lang w:val="en-GB"/>
              </w:rPr>
              <w:t>Electric</w:t>
            </w:r>
            <w:r w:rsidR="00346EA3">
              <w:rPr>
                <w:rFonts w:cstheme="minorHAnsi"/>
                <w:sz w:val="18"/>
                <w:szCs w:val="20"/>
                <w:lang w:val="en-GB"/>
              </w:rPr>
              <w:t>ity Energy</w:t>
            </w:r>
            <w:r>
              <w:rPr>
                <w:rFonts w:cstheme="minorHAnsi"/>
                <w:sz w:val="18"/>
                <w:szCs w:val="20"/>
                <w:lang w:val="en-GB"/>
              </w:rPr>
              <w:t xml:space="preserve"> Demand in Turkey prepared and published by the Ministry of Energy and Natural Resources, </w:t>
            </w:r>
            <w:r w:rsidR="00730754">
              <w:rPr>
                <w:rFonts w:cstheme="minorHAnsi"/>
                <w:sz w:val="18"/>
                <w:szCs w:val="20"/>
                <w:lang w:val="en-GB"/>
              </w:rPr>
              <w:t xml:space="preserve">a quantity </w:t>
            </w:r>
            <w:r w:rsidR="00346EA3">
              <w:rPr>
                <w:rFonts w:cstheme="minorHAnsi"/>
                <w:sz w:val="18"/>
                <w:szCs w:val="20"/>
                <w:lang w:val="en-GB"/>
              </w:rPr>
              <w:t xml:space="preserve">(50% of the </w:t>
            </w:r>
            <w:r w:rsidR="00346EA3" w:rsidRPr="00F61F03">
              <w:rPr>
                <w:rFonts w:cstheme="minorHAnsi"/>
                <w:sz w:val="18"/>
                <w:szCs w:val="20"/>
                <w:lang w:val="en-GB"/>
              </w:rPr>
              <w:t>estimated consumption quantity)</w:t>
            </w:r>
            <w:r w:rsidR="00346EA3">
              <w:rPr>
                <w:rFonts w:cstheme="minorHAnsi"/>
                <w:sz w:val="18"/>
                <w:szCs w:val="20"/>
                <w:lang w:val="en-GB"/>
              </w:rPr>
              <w:t xml:space="preserve"> </w:t>
            </w:r>
            <w:r w:rsidR="00730754">
              <w:rPr>
                <w:rFonts w:cstheme="minorHAnsi"/>
                <w:sz w:val="18"/>
                <w:szCs w:val="20"/>
                <w:lang w:val="en-GB"/>
              </w:rPr>
              <w:t>which can create an open position up to 25% of the annual electric</w:t>
            </w:r>
            <w:r w:rsidR="00346EA3">
              <w:rPr>
                <w:rFonts w:cstheme="minorHAnsi"/>
                <w:sz w:val="18"/>
                <w:szCs w:val="20"/>
                <w:lang w:val="en-GB"/>
              </w:rPr>
              <w:t>ity energy</w:t>
            </w:r>
            <w:r w:rsidR="00730754">
              <w:rPr>
                <w:rFonts w:cstheme="minorHAnsi"/>
                <w:sz w:val="18"/>
                <w:szCs w:val="20"/>
                <w:lang w:val="en-GB"/>
              </w:rPr>
              <w:t xml:space="preserve"> consumption quantity estimated f</w:t>
            </w:r>
            <w:r w:rsidR="00346EA3">
              <w:rPr>
                <w:rFonts w:cstheme="minorHAnsi"/>
                <w:sz w:val="18"/>
                <w:szCs w:val="20"/>
                <w:lang w:val="en-GB"/>
              </w:rPr>
              <w:t>or each subsequent year</w:t>
            </w:r>
            <w:r w:rsidR="00730754" w:rsidRPr="00F61F03">
              <w:rPr>
                <w:rFonts w:cstheme="minorHAnsi"/>
                <w:sz w:val="18"/>
                <w:szCs w:val="20"/>
                <w:lang w:val="en-GB"/>
              </w:rPr>
              <w:t xml:space="preserve"> is determined as the Market Position limit.  </w:t>
            </w:r>
            <w:r w:rsidR="00A966D0" w:rsidRPr="00F61F03">
              <w:rPr>
                <w:rFonts w:cstheme="minorHAnsi"/>
                <w:sz w:val="18"/>
                <w:szCs w:val="20"/>
                <w:lang w:val="en-GB"/>
              </w:rPr>
              <w:t xml:space="preserve">30% of the Market Position limit </w:t>
            </w:r>
            <w:r w:rsidR="00346EA3">
              <w:rPr>
                <w:rFonts w:cstheme="minorHAnsi"/>
                <w:sz w:val="18"/>
                <w:szCs w:val="20"/>
                <w:lang w:val="en-GB"/>
              </w:rPr>
              <w:t>is</w:t>
            </w:r>
            <w:r w:rsidR="00677CED" w:rsidRPr="00F61F03">
              <w:rPr>
                <w:rFonts w:cstheme="minorHAnsi"/>
                <w:sz w:val="18"/>
                <w:szCs w:val="20"/>
                <w:lang w:val="en-GB"/>
              </w:rPr>
              <w:t xml:space="preserve"> </w:t>
            </w:r>
            <w:r w:rsidR="00040D99">
              <w:rPr>
                <w:rFonts w:cstheme="minorHAnsi"/>
                <w:sz w:val="18"/>
                <w:szCs w:val="20"/>
                <w:lang w:val="en-GB"/>
              </w:rPr>
              <w:t>allocated to each quarter contract</w:t>
            </w:r>
            <w:r w:rsidR="005A15C1" w:rsidRPr="00F61F03">
              <w:rPr>
                <w:rFonts w:cstheme="minorHAnsi"/>
                <w:sz w:val="18"/>
                <w:szCs w:val="20"/>
                <w:lang w:val="en-GB"/>
              </w:rPr>
              <w:t>,</w:t>
            </w:r>
            <w:r w:rsidR="00A966D0" w:rsidRPr="00F61F03">
              <w:rPr>
                <w:rFonts w:cstheme="minorHAnsi"/>
                <w:sz w:val="18"/>
                <w:szCs w:val="20"/>
                <w:lang w:val="en-GB"/>
              </w:rPr>
              <w:t xml:space="preserve"> in proportion to </w:t>
            </w:r>
            <w:r w:rsidR="000D7E94" w:rsidRPr="00F61F03">
              <w:rPr>
                <w:rFonts w:cstheme="minorHAnsi"/>
                <w:sz w:val="18"/>
                <w:szCs w:val="20"/>
                <w:lang w:val="en-GB"/>
              </w:rPr>
              <w:t>its</w:t>
            </w:r>
            <w:r w:rsidR="00A966D0" w:rsidRPr="00F61F03">
              <w:rPr>
                <w:rFonts w:cstheme="minorHAnsi"/>
                <w:sz w:val="18"/>
                <w:szCs w:val="20"/>
                <w:lang w:val="en-GB"/>
              </w:rPr>
              <w:t xml:space="preserve"> load characteristic </w:t>
            </w:r>
            <w:r w:rsidR="00040D99">
              <w:rPr>
                <w:rFonts w:cstheme="minorHAnsi"/>
                <w:sz w:val="18"/>
                <w:szCs w:val="20"/>
                <w:lang w:val="en-GB"/>
              </w:rPr>
              <w:t>by</w:t>
            </w:r>
            <w:r w:rsidR="00A966D0" w:rsidRPr="00F61F03">
              <w:rPr>
                <w:rFonts w:cstheme="minorHAnsi"/>
                <w:sz w:val="18"/>
                <w:szCs w:val="20"/>
                <w:lang w:val="en-GB"/>
              </w:rPr>
              <w:t xml:space="preserve"> taking into account the</w:t>
            </w:r>
            <w:r w:rsidR="005A15C1" w:rsidRPr="00F61F03">
              <w:rPr>
                <w:rFonts w:cstheme="minorHAnsi"/>
                <w:sz w:val="18"/>
                <w:szCs w:val="20"/>
                <w:lang w:val="en-GB"/>
              </w:rPr>
              <w:t xml:space="preserve"> </w:t>
            </w:r>
            <w:r w:rsidR="00677CED" w:rsidRPr="00F61F03">
              <w:rPr>
                <w:rFonts w:cstheme="minorHAnsi"/>
                <w:sz w:val="18"/>
                <w:szCs w:val="20"/>
                <w:lang w:val="en-GB"/>
              </w:rPr>
              <w:t xml:space="preserve">previous year’s </w:t>
            </w:r>
            <w:r w:rsidR="00A966D0" w:rsidRPr="00F61F03">
              <w:rPr>
                <w:rFonts w:cstheme="minorHAnsi"/>
                <w:sz w:val="18"/>
                <w:szCs w:val="20"/>
                <w:lang w:val="en-GB"/>
              </w:rPr>
              <w:t xml:space="preserve">drawing quantities </w:t>
            </w:r>
            <w:r w:rsidR="009716EB" w:rsidRPr="00F61F03">
              <w:rPr>
                <w:rFonts w:cstheme="minorHAnsi"/>
                <w:sz w:val="18"/>
                <w:szCs w:val="20"/>
                <w:lang w:val="en-GB"/>
              </w:rPr>
              <w:t>subject to settlement</w:t>
            </w:r>
            <w:r w:rsidR="00A966D0" w:rsidRPr="00F61F03">
              <w:rPr>
                <w:rFonts w:cstheme="minorHAnsi"/>
                <w:sz w:val="18"/>
                <w:szCs w:val="20"/>
                <w:lang w:val="en-GB"/>
              </w:rPr>
              <w:t>.</w:t>
            </w:r>
            <w:r w:rsidR="00A966D0">
              <w:rPr>
                <w:rFonts w:cstheme="minorHAnsi"/>
                <w:sz w:val="18"/>
                <w:szCs w:val="20"/>
                <w:lang w:val="en-GB"/>
              </w:rPr>
              <w:t xml:space="preserve">  </w:t>
            </w:r>
            <w:r w:rsidR="00346EA3" w:rsidRPr="00346EA3">
              <w:rPr>
                <w:rFonts w:cstheme="minorHAnsi"/>
                <w:sz w:val="18"/>
                <w:szCs w:val="20"/>
                <w:lang w:val="en-GB"/>
              </w:rPr>
              <w:t>Participant position limits shall be calculated as follows: the ratio calculated for each participant taking into account the</w:t>
            </w:r>
            <w:r w:rsidR="00346EA3">
              <w:rPr>
                <w:rFonts w:cstheme="minorHAnsi"/>
                <w:sz w:val="18"/>
                <w:szCs w:val="20"/>
                <w:lang w:val="en-GB"/>
              </w:rPr>
              <w:t xml:space="preserve"> </w:t>
            </w:r>
            <w:r w:rsidR="00346EA3" w:rsidRPr="00346EA3">
              <w:rPr>
                <w:rFonts w:cstheme="minorHAnsi"/>
                <w:sz w:val="18"/>
                <w:szCs w:val="20"/>
                <w:lang w:val="en-GB"/>
              </w:rPr>
              <w:t>available</w:t>
            </w:r>
            <w:r w:rsidR="00346EA3" w:rsidRPr="00346EA3">
              <w:rPr>
                <w:rFonts w:cstheme="minorHAnsi"/>
                <w:sz w:val="18"/>
                <w:szCs w:val="20"/>
                <w:lang w:val="en-GB"/>
              </w:rPr>
              <w:t xml:space="preserve"> last twelve months’ settlement data is multiplied by the market position limits.</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7B0246" w:rsidP="00A62179">
            <w:pPr>
              <w:spacing w:after="160" w:line="276" w:lineRule="auto"/>
              <w:jc w:val="both"/>
              <w:rPr>
                <w:rFonts w:cstheme="minorHAnsi"/>
                <w:sz w:val="18"/>
                <w:szCs w:val="20"/>
                <w:lang w:val="en-GB"/>
              </w:rPr>
            </w:pPr>
            <w:r>
              <w:rPr>
                <w:rFonts w:cstheme="minorHAnsi"/>
                <w:sz w:val="18"/>
                <w:szCs w:val="20"/>
                <w:lang w:val="en-GB"/>
              </w:rPr>
              <w:t xml:space="preserve">Payments </w:t>
            </w:r>
          </w:p>
        </w:tc>
        <w:tc>
          <w:tcPr>
            <w:tcW w:w="6673" w:type="dxa"/>
          </w:tcPr>
          <w:p w:rsidR="00DD6389" w:rsidRPr="005B6645" w:rsidRDefault="00FC7EB5" w:rsidP="00040D9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Payments shall be made on a monthly basis and in the month following the delivery period.</w:t>
            </w:r>
            <w:r w:rsidR="0059468A">
              <w:rPr>
                <w:rFonts w:cstheme="minorHAnsi"/>
                <w:sz w:val="18"/>
                <w:szCs w:val="20"/>
                <w:lang w:val="en-GB"/>
              </w:rPr>
              <w:t xml:space="preserve"> </w:t>
            </w:r>
            <w:r w:rsidR="005B6645">
              <w:rPr>
                <w:rFonts w:cstheme="minorHAnsi"/>
                <w:sz w:val="18"/>
                <w:szCs w:val="20"/>
                <w:lang w:val="en-GB"/>
              </w:rPr>
              <w:t xml:space="preserve">At each hour of </w:t>
            </w:r>
            <w:r w:rsidR="0059468A">
              <w:rPr>
                <w:rFonts w:cstheme="minorHAnsi"/>
                <w:sz w:val="18"/>
                <w:szCs w:val="20"/>
                <w:lang w:val="en-GB"/>
              </w:rPr>
              <w:t>each day of the delivery/</w:t>
            </w:r>
            <w:r w:rsidR="002222A1">
              <w:rPr>
                <w:rFonts w:cstheme="minorHAnsi"/>
                <w:sz w:val="18"/>
                <w:szCs w:val="20"/>
                <w:lang w:val="en-GB"/>
              </w:rPr>
              <w:t>maturity</w:t>
            </w:r>
            <w:r w:rsidR="0059468A">
              <w:rPr>
                <w:rFonts w:cstheme="minorHAnsi"/>
                <w:sz w:val="18"/>
                <w:szCs w:val="20"/>
                <w:lang w:val="en-GB"/>
              </w:rPr>
              <w:t xml:space="preserve"> month</w:t>
            </w:r>
            <w:r w:rsidR="00040D99">
              <w:rPr>
                <w:rFonts w:cstheme="minorHAnsi"/>
                <w:sz w:val="18"/>
                <w:szCs w:val="20"/>
                <w:lang w:val="en-GB"/>
              </w:rPr>
              <w:t>,</w:t>
            </w:r>
            <w:r w:rsidR="0059468A">
              <w:rPr>
                <w:rFonts w:cstheme="minorHAnsi"/>
                <w:sz w:val="18"/>
                <w:szCs w:val="20"/>
                <w:lang w:val="en-GB"/>
              </w:rPr>
              <w:t xml:space="preserve"> </w:t>
            </w:r>
            <w:r w:rsidR="00040D99">
              <w:rPr>
                <w:rFonts w:cstheme="minorHAnsi"/>
                <w:sz w:val="18"/>
                <w:szCs w:val="20"/>
                <w:lang w:val="en-GB"/>
              </w:rPr>
              <w:t xml:space="preserve">electricity energy </w:t>
            </w:r>
            <w:r w:rsidR="005B6645">
              <w:rPr>
                <w:rFonts w:cstheme="minorHAnsi"/>
                <w:sz w:val="18"/>
                <w:szCs w:val="20"/>
                <w:lang w:val="en-GB"/>
              </w:rPr>
              <w:t xml:space="preserve">supply </w:t>
            </w:r>
            <w:r w:rsidR="005B6645">
              <w:rPr>
                <w:rFonts w:cstheme="minorHAnsi"/>
                <w:sz w:val="18"/>
                <w:szCs w:val="20"/>
                <w:lang w:val="en-GB"/>
              </w:rPr>
              <w:lastRenderedPageBreak/>
              <w:t xml:space="preserve">and drawing as much as the </w:t>
            </w:r>
            <w:r w:rsidR="00040D99">
              <w:rPr>
                <w:rFonts w:cstheme="minorHAnsi"/>
                <w:sz w:val="18"/>
                <w:szCs w:val="20"/>
                <w:lang w:val="en-GB"/>
              </w:rPr>
              <w:t xml:space="preserve">matching quantity </w:t>
            </w:r>
            <w:r w:rsidR="005B6645">
              <w:rPr>
                <w:rFonts w:cstheme="minorHAnsi"/>
                <w:sz w:val="18"/>
                <w:szCs w:val="20"/>
                <w:lang w:val="en-GB"/>
              </w:rPr>
              <w:t>shall take place. Long position holder market participant shall, for the delivery/</w:t>
            </w:r>
            <w:r w:rsidR="00275AD6">
              <w:rPr>
                <w:rFonts w:cstheme="minorHAnsi"/>
                <w:sz w:val="18"/>
                <w:szCs w:val="20"/>
                <w:lang w:val="en-GB"/>
              </w:rPr>
              <w:t xml:space="preserve">maturity </w:t>
            </w:r>
            <w:r w:rsidR="005B6645">
              <w:rPr>
                <w:rFonts w:cstheme="minorHAnsi"/>
                <w:sz w:val="18"/>
                <w:szCs w:val="20"/>
                <w:lang w:val="en-GB"/>
              </w:rPr>
              <w:t>month, pay the market operator the amount calculated as follows: number of days in the delivery period x 24 hours x matching price (Turkish Lira/MWh) x matching quantity (MW). Market operator shall pay the amount it collects from the long position holder market participant to the short position holder market participant</w:t>
            </w:r>
            <w:r w:rsidR="00DD6389" w:rsidRPr="00F4291C">
              <w:rPr>
                <w:rFonts w:cstheme="minorHAnsi"/>
                <w:sz w:val="18"/>
                <w:szCs w:val="20"/>
                <w:lang w:val="en-GB"/>
              </w:rPr>
              <w:t>.</w:t>
            </w:r>
          </w:p>
        </w:tc>
      </w:tr>
      <w:tr w:rsidR="00DD6389" w:rsidRPr="00F4291C"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F4291C" w:rsidRDefault="007B0246" w:rsidP="007B0246">
            <w:pPr>
              <w:spacing w:after="160" w:line="276" w:lineRule="auto"/>
              <w:jc w:val="both"/>
              <w:rPr>
                <w:rFonts w:cstheme="minorHAnsi"/>
                <w:sz w:val="18"/>
                <w:szCs w:val="20"/>
                <w:lang w:val="en-GB"/>
              </w:rPr>
            </w:pPr>
            <w:r>
              <w:rPr>
                <w:rFonts w:cstheme="minorHAnsi"/>
                <w:sz w:val="18"/>
                <w:szCs w:val="20"/>
                <w:lang w:val="en-GB"/>
              </w:rPr>
              <w:lastRenderedPageBreak/>
              <w:t xml:space="preserve">Collateral Regulations </w:t>
            </w:r>
          </w:p>
        </w:tc>
        <w:tc>
          <w:tcPr>
            <w:tcW w:w="6673" w:type="dxa"/>
          </w:tcPr>
          <w:p w:rsidR="00DD6389" w:rsidRPr="00F4291C" w:rsidRDefault="005133C1" w:rsidP="005133C1">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Balancing and Settlement Regulation (DUY), Power Futures Market Operating Rules and Procedures and the Power Futures Market Method shall be taken into account</w:t>
            </w:r>
            <w:r w:rsidR="00A62179" w:rsidRPr="00F4291C">
              <w:rPr>
                <w:rFonts w:cstheme="minorHAnsi"/>
                <w:sz w:val="18"/>
                <w:szCs w:val="20"/>
                <w:lang w:val="en-GB"/>
              </w:rPr>
              <w:t>.</w:t>
            </w:r>
          </w:p>
        </w:tc>
      </w:tr>
    </w:tbl>
    <w:p w:rsidR="00722997" w:rsidRPr="00F4291C" w:rsidRDefault="00722997" w:rsidP="00A62179">
      <w:pPr>
        <w:rPr>
          <w:lang w:val="en-GB"/>
        </w:rPr>
      </w:pPr>
    </w:p>
    <w:sectPr w:rsidR="00722997" w:rsidRPr="00F4291C" w:rsidSect="001043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4CC" w:rsidRDefault="005754CC" w:rsidP="00DD6389">
      <w:pPr>
        <w:spacing w:after="0" w:line="240" w:lineRule="auto"/>
      </w:pPr>
      <w:r>
        <w:separator/>
      </w:r>
    </w:p>
  </w:endnote>
  <w:endnote w:type="continuationSeparator" w:id="0">
    <w:p w:rsidR="005754CC" w:rsidRDefault="005754CC" w:rsidP="00DD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4CC" w:rsidRDefault="005754CC" w:rsidP="00DD6389">
      <w:pPr>
        <w:spacing w:after="0" w:line="240" w:lineRule="auto"/>
      </w:pPr>
      <w:r>
        <w:separator/>
      </w:r>
    </w:p>
  </w:footnote>
  <w:footnote w:type="continuationSeparator" w:id="0">
    <w:p w:rsidR="005754CC" w:rsidRDefault="005754CC" w:rsidP="00DD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4D" w:rsidRPr="00612791" w:rsidRDefault="00B5704D" w:rsidP="00011D36">
    <w:pPr>
      <w:pStyle w:val="Header"/>
      <w:rPr>
        <w:lang w:val="en-GB"/>
      </w:rPr>
    </w:pPr>
    <w:r w:rsidRPr="00612791">
      <w:rPr>
        <w:noProof/>
        <w:lang w:eastAsia="tr-TR"/>
      </w:rPr>
      <w:drawing>
        <wp:inline distT="0" distB="0" distL="0" distR="0">
          <wp:extent cx="518160" cy="381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inline>
      </w:drawing>
    </w:r>
    <w:r w:rsidRPr="00612791">
      <w:rPr>
        <w:lang w:val="en-GB"/>
      </w:rPr>
      <w:t xml:space="preserve">           </w:t>
    </w:r>
    <w:r w:rsidRPr="00612791">
      <w:rPr>
        <w:lang w:val="en-GB"/>
      </w:rPr>
      <w:tab/>
    </w:r>
    <w:r w:rsidR="00011D36">
      <w:rPr>
        <w:rStyle w:val="Heading1Char"/>
        <w:lang w:val="en-GB"/>
      </w:rPr>
      <w:t>POWER</w:t>
    </w:r>
    <w:r w:rsidR="00647BBB">
      <w:rPr>
        <w:rStyle w:val="Heading1Char"/>
        <w:lang w:val="en-GB"/>
      </w:rPr>
      <w:t xml:space="preserve"> </w:t>
    </w:r>
    <w:r w:rsidR="00612791">
      <w:rPr>
        <w:rStyle w:val="Heading1Char"/>
        <w:lang w:val="en-GB"/>
      </w:rPr>
      <w:t xml:space="preserve">FUTURES MARKET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DC2"/>
    <w:multiLevelType w:val="multilevel"/>
    <w:tmpl w:val="B8F63A92"/>
    <w:lvl w:ilvl="0">
      <w:start w:val="1"/>
      <w:numFmt w:val="decimal"/>
      <w:pStyle w:val="Heading1"/>
      <w:lvlText w:val="%1"/>
      <w:lvlJc w:val="left"/>
      <w:pPr>
        <w:ind w:left="432" w:hanging="432"/>
      </w:pPr>
    </w:lvl>
    <w:lvl w:ilvl="1">
      <w:start w:val="1"/>
      <w:numFmt w:val="decimal"/>
      <w:pStyle w:val="Heading2"/>
      <w:lvlText w:val="%1.%2"/>
      <w:lvlJc w:val="left"/>
      <w:pPr>
        <w:ind w:left="796" w:hanging="576"/>
      </w:pPr>
    </w:lvl>
    <w:lvl w:ilvl="2">
      <w:start w:val="1"/>
      <w:numFmt w:val="decimal"/>
      <w:pStyle w:val="Heading3"/>
      <w:lvlText w:val="%1.%2.%3"/>
      <w:lvlJc w:val="left"/>
      <w:pPr>
        <w:ind w:left="861" w:hanging="720"/>
      </w:pPr>
    </w:lvl>
    <w:lvl w:ilvl="3">
      <w:start w:val="1"/>
      <w:numFmt w:val="lowerRoman"/>
      <w:lvlText w:val="%4."/>
      <w:lvlJc w:val="righ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ED"/>
    <w:rsid w:val="00011D36"/>
    <w:rsid w:val="00022B5F"/>
    <w:rsid w:val="00026E77"/>
    <w:rsid w:val="00040D99"/>
    <w:rsid w:val="00042FA8"/>
    <w:rsid w:val="0004329C"/>
    <w:rsid w:val="000625FE"/>
    <w:rsid w:val="000721B5"/>
    <w:rsid w:val="00092052"/>
    <w:rsid w:val="000A6C65"/>
    <w:rsid w:val="000C3A25"/>
    <w:rsid w:val="000D7E94"/>
    <w:rsid w:val="000E6FA3"/>
    <w:rsid w:val="001022ED"/>
    <w:rsid w:val="00104315"/>
    <w:rsid w:val="00141EDD"/>
    <w:rsid w:val="0014357F"/>
    <w:rsid w:val="001463B7"/>
    <w:rsid w:val="001638FD"/>
    <w:rsid w:val="00184826"/>
    <w:rsid w:val="00191F3D"/>
    <w:rsid w:val="001A1D1E"/>
    <w:rsid w:val="001C5A25"/>
    <w:rsid w:val="001C693E"/>
    <w:rsid w:val="001C7A06"/>
    <w:rsid w:val="001E63E5"/>
    <w:rsid w:val="001F4054"/>
    <w:rsid w:val="00210F73"/>
    <w:rsid w:val="002222A1"/>
    <w:rsid w:val="002254BE"/>
    <w:rsid w:val="00275AD6"/>
    <w:rsid w:val="00296A1E"/>
    <w:rsid w:val="002A3276"/>
    <w:rsid w:val="002F15B0"/>
    <w:rsid w:val="002F7581"/>
    <w:rsid w:val="003019E6"/>
    <w:rsid w:val="003116A5"/>
    <w:rsid w:val="003203EC"/>
    <w:rsid w:val="00322CC1"/>
    <w:rsid w:val="00335A47"/>
    <w:rsid w:val="00346EA3"/>
    <w:rsid w:val="00361690"/>
    <w:rsid w:val="00390F90"/>
    <w:rsid w:val="003A39DB"/>
    <w:rsid w:val="003C524C"/>
    <w:rsid w:val="003F4D50"/>
    <w:rsid w:val="003F5A86"/>
    <w:rsid w:val="0040020F"/>
    <w:rsid w:val="00423441"/>
    <w:rsid w:val="00465644"/>
    <w:rsid w:val="00485647"/>
    <w:rsid w:val="00492080"/>
    <w:rsid w:val="00496A70"/>
    <w:rsid w:val="00497695"/>
    <w:rsid w:val="004A25A1"/>
    <w:rsid w:val="004B55A0"/>
    <w:rsid w:val="005133C1"/>
    <w:rsid w:val="00520B7B"/>
    <w:rsid w:val="005754CC"/>
    <w:rsid w:val="00576FC1"/>
    <w:rsid w:val="0058306E"/>
    <w:rsid w:val="0059468A"/>
    <w:rsid w:val="005A15C1"/>
    <w:rsid w:val="005A1D9E"/>
    <w:rsid w:val="005B64AF"/>
    <w:rsid w:val="005B6645"/>
    <w:rsid w:val="005B7018"/>
    <w:rsid w:val="005B70CE"/>
    <w:rsid w:val="005F58C5"/>
    <w:rsid w:val="006025EC"/>
    <w:rsid w:val="00612700"/>
    <w:rsid w:val="00612791"/>
    <w:rsid w:val="00620E5B"/>
    <w:rsid w:val="00621386"/>
    <w:rsid w:val="006215B6"/>
    <w:rsid w:val="00645D58"/>
    <w:rsid w:val="00647BBB"/>
    <w:rsid w:val="006504E8"/>
    <w:rsid w:val="006769E2"/>
    <w:rsid w:val="00677CED"/>
    <w:rsid w:val="006A226F"/>
    <w:rsid w:val="006E36CE"/>
    <w:rsid w:val="006F35C7"/>
    <w:rsid w:val="006F4755"/>
    <w:rsid w:val="00722997"/>
    <w:rsid w:val="00730754"/>
    <w:rsid w:val="00734FC6"/>
    <w:rsid w:val="00753867"/>
    <w:rsid w:val="00770CF0"/>
    <w:rsid w:val="0078129C"/>
    <w:rsid w:val="007B0246"/>
    <w:rsid w:val="00810269"/>
    <w:rsid w:val="00823AD9"/>
    <w:rsid w:val="0085617A"/>
    <w:rsid w:val="0087365A"/>
    <w:rsid w:val="0087727C"/>
    <w:rsid w:val="008A20F3"/>
    <w:rsid w:val="008A2CC5"/>
    <w:rsid w:val="008A42D0"/>
    <w:rsid w:val="008B7161"/>
    <w:rsid w:val="008C12CE"/>
    <w:rsid w:val="008D5A11"/>
    <w:rsid w:val="008E0623"/>
    <w:rsid w:val="008E080E"/>
    <w:rsid w:val="00904294"/>
    <w:rsid w:val="00912202"/>
    <w:rsid w:val="009226CA"/>
    <w:rsid w:val="00941320"/>
    <w:rsid w:val="00960F46"/>
    <w:rsid w:val="009716EB"/>
    <w:rsid w:val="00973989"/>
    <w:rsid w:val="00990BC3"/>
    <w:rsid w:val="009B7DA4"/>
    <w:rsid w:val="009C2946"/>
    <w:rsid w:val="009D133B"/>
    <w:rsid w:val="009D22F1"/>
    <w:rsid w:val="009E7723"/>
    <w:rsid w:val="009F2F8F"/>
    <w:rsid w:val="00A02E29"/>
    <w:rsid w:val="00A15BB1"/>
    <w:rsid w:val="00A32EC0"/>
    <w:rsid w:val="00A56194"/>
    <w:rsid w:val="00A56A7D"/>
    <w:rsid w:val="00A60D88"/>
    <w:rsid w:val="00A62179"/>
    <w:rsid w:val="00A966D0"/>
    <w:rsid w:val="00AB2FF6"/>
    <w:rsid w:val="00AB71D5"/>
    <w:rsid w:val="00AE0F12"/>
    <w:rsid w:val="00AF63B9"/>
    <w:rsid w:val="00B458B0"/>
    <w:rsid w:val="00B54E12"/>
    <w:rsid w:val="00B5704D"/>
    <w:rsid w:val="00B57089"/>
    <w:rsid w:val="00B70AD1"/>
    <w:rsid w:val="00BA1249"/>
    <w:rsid w:val="00BA268E"/>
    <w:rsid w:val="00BB004E"/>
    <w:rsid w:val="00BD6C58"/>
    <w:rsid w:val="00BD73D0"/>
    <w:rsid w:val="00C06748"/>
    <w:rsid w:val="00C1318B"/>
    <w:rsid w:val="00C36072"/>
    <w:rsid w:val="00C4657F"/>
    <w:rsid w:val="00C858F2"/>
    <w:rsid w:val="00CA60B0"/>
    <w:rsid w:val="00CA7C76"/>
    <w:rsid w:val="00D02088"/>
    <w:rsid w:val="00D26A15"/>
    <w:rsid w:val="00D30A7C"/>
    <w:rsid w:val="00D31C67"/>
    <w:rsid w:val="00D4449B"/>
    <w:rsid w:val="00D51DC6"/>
    <w:rsid w:val="00D71088"/>
    <w:rsid w:val="00DC3F18"/>
    <w:rsid w:val="00DD6389"/>
    <w:rsid w:val="00E10912"/>
    <w:rsid w:val="00E1166F"/>
    <w:rsid w:val="00E21633"/>
    <w:rsid w:val="00E26D67"/>
    <w:rsid w:val="00E3599D"/>
    <w:rsid w:val="00E542CD"/>
    <w:rsid w:val="00E5480B"/>
    <w:rsid w:val="00E56020"/>
    <w:rsid w:val="00E710D4"/>
    <w:rsid w:val="00E83D75"/>
    <w:rsid w:val="00E911E3"/>
    <w:rsid w:val="00E96AF9"/>
    <w:rsid w:val="00EA6A3A"/>
    <w:rsid w:val="00EC2B45"/>
    <w:rsid w:val="00EF142D"/>
    <w:rsid w:val="00F233CF"/>
    <w:rsid w:val="00F33F35"/>
    <w:rsid w:val="00F370A6"/>
    <w:rsid w:val="00F4291C"/>
    <w:rsid w:val="00F44003"/>
    <w:rsid w:val="00F53034"/>
    <w:rsid w:val="00F54B3A"/>
    <w:rsid w:val="00F61F03"/>
    <w:rsid w:val="00F642F4"/>
    <w:rsid w:val="00F65FE8"/>
    <w:rsid w:val="00F94D4B"/>
    <w:rsid w:val="00FA4120"/>
    <w:rsid w:val="00FC7EB5"/>
    <w:rsid w:val="00FE7C77"/>
    <w:rsid w:val="00FF57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5DFDDEF"/>
  <w15:docId w15:val="{B95AF78D-F1F8-4BD6-AF01-2ED4C01A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89"/>
  </w:style>
  <w:style w:type="paragraph" w:styleId="Heading1">
    <w:name w:val="heading 1"/>
    <w:basedOn w:val="Normal"/>
    <w:next w:val="Normal"/>
    <w:link w:val="Heading1Char"/>
    <w:uiPriority w:val="9"/>
    <w:qFormat/>
    <w:rsid w:val="00DD6389"/>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2">
    <w:name w:val="heading 2"/>
    <w:basedOn w:val="Normal"/>
    <w:next w:val="Normal"/>
    <w:link w:val="Heading2Char"/>
    <w:uiPriority w:val="9"/>
    <w:unhideWhenUsed/>
    <w:qFormat/>
    <w:rsid w:val="00DD6389"/>
    <w:pPr>
      <w:keepNext/>
      <w:keepLines/>
      <w:numPr>
        <w:ilvl w:val="1"/>
        <w:numId w:val="1"/>
      </w:numPr>
      <w:spacing w:before="200" w:after="24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Heading3">
    <w:name w:val="heading 3"/>
    <w:basedOn w:val="Normal"/>
    <w:next w:val="Normal"/>
    <w:link w:val="Heading3Char"/>
    <w:uiPriority w:val="9"/>
    <w:unhideWhenUsed/>
    <w:qFormat/>
    <w:rsid w:val="00DD6389"/>
    <w:pPr>
      <w:keepNext/>
      <w:keepLines/>
      <w:numPr>
        <w:ilvl w:val="2"/>
        <w:numId w:val="1"/>
      </w:numPr>
      <w:spacing w:before="200" w:after="240" w:line="276" w:lineRule="auto"/>
      <w:outlineLvl w:val="2"/>
    </w:pPr>
    <w:rPr>
      <w:rFonts w:asciiTheme="majorHAnsi" w:eastAsiaTheme="majorEastAsia" w:hAnsiTheme="majorHAnsi" w:cstheme="majorBidi"/>
      <w:b/>
      <w:bCs/>
      <w:color w:val="5B9BD5" w:themeColor="accent1"/>
      <w:lang w:eastAsia="tr-TR"/>
    </w:rPr>
  </w:style>
  <w:style w:type="paragraph" w:styleId="Heading5">
    <w:name w:val="heading 5"/>
    <w:basedOn w:val="Normal"/>
    <w:next w:val="Normal"/>
    <w:link w:val="Heading5Char"/>
    <w:uiPriority w:val="9"/>
    <w:unhideWhenUsed/>
    <w:qFormat/>
    <w:rsid w:val="00DD6389"/>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Heading6">
    <w:name w:val="heading 6"/>
    <w:basedOn w:val="Normal"/>
    <w:next w:val="Normal"/>
    <w:link w:val="Heading6Char"/>
    <w:uiPriority w:val="9"/>
    <w:semiHidden/>
    <w:unhideWhenUsed/>
    <w:qFormat/>
    <w:rsid w:val="00DD6389"/>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eastAsia="tr-TR"/>
    </w:rPr>
  </w:style>
  <w:style w:type="paragraph" w:styleId="Heading7">
    <w:name w:val="heading 7"/>
    <w:basedOn w:val="Normal"/>
    <w:next w:val="Normal"/>
    <w:link w:val="Heading7Char"/>
    <w:uiPriority w:val="9"/>
    <w:semiHidden/>
    <w:unhideWhenUsed/>
    <w:qFormat/>
    <w:rsid w:val="00DD6389"/>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tr-TR"/>
    </w:rPr>
  </w:style>
  <w:style w:type="paragraph" w:styleId="Heading8">
    <w:name w:val="heading 8"/>
    <w:basedOn w:val="Normal"/>
    <w:next w:val="Normal"/>
    <w:link w:val="Heading8Char"/>
    <w:uiPriority w:val="9"/>
    <w:semiHidden/>
    <w:unhideWhenUsed/>
    <w:qFormat/>
    <w:rsid w:val="00DD6389"/>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tr-TR"/>
    </w:rPr>
  </w:style>
  <w:style w:type="paragraph" w:styleId="Heading9">
    <w:name w:val="heading 9"/>
    <w:basedOn w:val="Normal"/>
    <w:next w:val="Normal"/>
    <w:link w:val="Heading9Char"/>
    <w:uiPriority w:val="9"/>
    <w:semiHidden/>
    <w:unhideWhenUsed/>
    <w:qFormat/>
    <w:rsid w:val="00DD6389"/>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3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389"/>
  </w:style>
  <w:style w:type="paragraph" w:styleId="Footer">
    <w:name w:val="footer"/>
    <w:basedOn w:val="Normal"/>
    <w:link w:val="FooterChar"/>
    <w:uiPriority w:val="99"/>
    <w:unhideWhenUsed/>
    <w:rsid w:val="00DD63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389"/>
  </w:style>
  <w:style w:type="character" w:customStyle="1" w:styleId="Heading1Char">
    <w:name w:val="Heading 1 Char"/>
    <w:basedOn w:val="DefaultParagraphFont"/>
    <w:link w:val="Heading1"/>
    <w:uiPriority w:val="9"/>
    <w:rsid w:val="00DD6389"/>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DD6389"/>
    <w:rPr>
      <w:rFonts w:asciiTheme="majorHAnsi" w:eastAsiaTheme="majorEastAsia" w:hAnsiTheme="majorHAnsi" w:cstheme="majorBidi"/>
      <w:b/>
      <w:bCs/>
      <w:color w:val="5B9BD5" w:themeColor="accent1"/>
      <w:sz w:val="26"/>
      <w:szCs w:val="26"/>
      <w:lang w:eastAsia="tr-TR"/>
    </w:rPr>
  </w:style>
  <w:style w:type="character" w:customStyle="1" w:styleId="Heading3Char">
    <w:name w:val="Heading 3 Char"/>
    <w:basedOn w:val="DefaultParagraphFont"/>
    <w:link w:val="Heading3"/>
    <w:uiPriority w:val="9"/>
    <w:rsid w:val="00DD6389"/>
    <w:rPr>
      <w:rFonts w:asciiTheme="majorHAnsi" w:eastAsiaTheme="majorEastAsia" w:hAnsiTheme="majorHAnsi" w:cstheme="majorBidi"/>
      <w:b/>
      <w:bCs/>
      <w:color w:val="5B9BD5" w:themeColor="accent1"/>
      <w:lang w:eastAsia="tr-TR"/>
    </w:rPr>
  </w:style>
  <w:style w:type="character" w:customStyle="1" w:styleId="Heading5Char">
    <w:name w:val="Heading 5 Char"/>
    <w:basedOn w:val="DefaultParagraphFont"/>
    <w:link w:val="Heading5"/>
    <w:uiPriority w:val="9"/>
    <w:rsid w:val="00DD6389"/>
    <w:rPr>
      <w:rFonts w:asciiTheme="majorHAnsi" w:eastAsiaTheme="majorEastAsia" w:hAnsiTheme="majorHAnsi" w:cstheme="majorBidi"/>
      <w:color w:val="1F4D78" w:themeColor="accent1" w:themeShade="7F"/>
      <w:lang w:eastAsia="tr-TR"/>
    </w:rPr>
  </w:style>
  <w:style w:type="character" w:customStyle="1" w:styleId="Heading6Char">
    <w:name w:val="Heading 6 Char"/>
    <w:basedOn w:val="DefaultParagraphFont"/>
    <w:link w:val="Heading6"/>
    <w:uiPriority w:val="9"/>
    <w:semiHidden/>
    <w:rsid w:val="00DD6389"/>
    <w:rPr>
      <w:rFonts w:asciiTheme="majorHAnsi" w:eastAsiaTheme="majorEastAsia" w:hAnsiTheme="majorHAnsi" w:cstheme="majorBidi"/>
      <w:i/>
      <w:iCs/>
      <w:color w:val="1F4D78" w:themeColor="accent1" w:themeShade="7F"/>
      <w:lang w:eastAsia="tr-TR"/>
    </w:rPr>
  </w:style>
  <w:style w:type="character" w:customStyle="1" w:styleId="Heading7Char">
    <w:name w:val="Heading 7 Char"/>
    <w:basedOn w:val="DefaultParagraphFont"/>
    <w:link w:val="Heading7"/>
    <w:uiPriority w:val="9"/>
    <w:semiHidden/>
    <w:rsid w:val="00DD6389"/>
    <w:rPr>
      <w:rFonts w:asciiTheme="majorHAnsi" w:eastAsiaTheme="majorEastAsia" w:hAnsiTheme="majorHAnsi" w:cstheme="majorBidi"/>
      <w:i/>
      <w:iCs/>
      <w:color w:val="404040" w:themeColor="text1" w:themeTint="BF"/>
      <w:lang w:eastAsia="tr-TR"/>
    </w:rPr>
  </w:style>
  <w:style w:type="character" w:customStyle="1" w:styleId="Heading8Char">
    <w:name w:val="Heading 8 Char"/>
    <w:basedOn w:val="DefaultParagraphFont"/>
    <w:link w:val="Heading8"/>
    <w:uiPriority w:val="9"/>
    <w:semiHidden/>
    <w:rsid w:val="00DD6389"/>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DD6389"/>
    <w:rPr>
      <w:rFonts w:asciiTheme="majorHAnsi" w:eastAsiaTheme="majorEastAsia" w:hAnsiTheme="majorHAnsi" w:cstheme="majorBidi"/>
      <w:i/>
      <w:iCs/>
      <w:color w:val="404040" w:themeColor="text1" w:themeTint="BF"/>
      <w:sz w:val="20"/>
      <w:szCs w:val="20"/>
      <w:lang w:eastAsia="tr-TR"/>
    </w:rPr>
  </w:style>
  <w:style w:type="table" w:customStyle="1" w:styleId="GridTable1Light-Accent51">
    <w:name w:val="Grid Table 1 Light - Accent 51"/>
    <w:basedOn w:val="TableNormal"/>
    <w:uiPriority w:val="46"/>
    <w:rsid w:val="00DD638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54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E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HNpbmFuLmFraW5jaTwvVXNlck5hbWU+PERhdGVUaW1lPjExLjAzLjIwMjIgMTI6NDM6NDI8L0RhdGVUaW1lPjxMYWJlbFN0cmluZz5UYXNuaWYgRCYjeDEzMTsmI3gxNUY7JiN4MTMxOy1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Props1.xml><?xml version="1.0" encoding="utf-8"?>
<ds:datastoreItem xmlns:ds="http://schemas.openxmlformats.org/officeDocument/2006/customXml" ds:itemID="{FFAB30E1-980C-41FF-9327-04AA3A177DB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3D8030D-0AA5-4C6F-B75D-BCBDF07FCD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6349</Characters>
  <Application>Microsoft Office Word</Application>
  <DocSecurity>0</DocSecurity>
  <Lines>52</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Sezer</dc:creator>
  <cp:keywords>Tasnif Dışı / Kişisel Veri içermez</cp:keywords>
  <dc:description/>
  <cp:lastModifiedBy>Yusuf Sinan Akıncı</cp:lastModifiedBy>
  <cp:revision>3</cp:revision>
  <cp:lastPrinted>2021-10-14T06:57:00Z</cp:lastPrinted>
  <dcterms:created xsi:type="dcterms:W3CDTF">2022-04-27T07:44:00Z</dcterms:created>
  <dcterms:modified xsi:type="dcterms:W3CDTF">2022-04-27T07:58:00Z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c5849226-b446-4713-ad47-72776bc5a0c3</vt:lpwstr>
  </property>
  <property fmtid="{D5CDD505-2E9C-101B-9397-08002B2CF9AE}" pid="3" name="bjSaver">
    <vt:lpwstr>bjIPbH16dGehuTTYQ9rIA/g7mFel6V81</vt:lpwstr>
  </property>
  <property fmtid="{D5CDD505-2E9C-101B-9397-08002B2CF9AE}" pid="4" name="bjDocumentSecurityLabel">
    <vt:lpwstr>Tasnif Dışı-Kişisel Veri içermez</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LabelHistoryID">
    <vt:lpwstr>{FFAB30E1-980C-41FF-9327-04AA3A177DB0}</vt:lpwstr>
  </property>
</Properties>
</file>