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bookmarkStart w:id="0" w:name="_GoBack"/>
      <w:bookmarkEnd w:id="0"/>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pPr>
        <w:tabs>
          <w:tab w:val="left" w:pos="-5103"/>
        </w:tabs>
        <w:spacing w:line="240" w:lineRule="auto"/>
        <w:ind w:firstLine="567"/>
        <w:rPr>
          <w:rFonts w:ascii="Times New Roman" w:hAnsi="Times New Roman" w:cs="Times New Roman"/>
          <w:b/>
          <w:sz w:val="24"/>
          <w:szCs w:val="24"/>
        </w:rPr>
      </w:pPr>
    </w:p>
    <w:p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rsidR="008A60EC" w:rsidRDefault="008A60EC" w:rsidP="00E372D8">
      <w:pPr>
        <w:tabs>
          <w:tab w:val="left" w:pos="-3969"/>
        </w:tabs>
        <w:spacing w:line="240" w:lineRule="auto"/>
        <w:ind w:firstLine="567"/>
        <w:rPr>
          <w:rFonts w:ascii="Times New Roman" w:hAnsi="Times New Roman" w:cs="Times New Roman"/>
          <w:b/>
          <w:sz w:val="24"/>
          <w:szCs w:val="24"/>
        </w:rPr>
      </w:pPr>
    </w:p>
    <w:p w:rsidR="008A60EC" w:rsidRDefault="008A60EC" w:rsidP="00E372D8">
      <w:pPr>
        <w:spacing w:line="240" w:lineRule="auto"/>
        <w:ind w:firstLine="567"/>
      </w:pPr>
      <w:r>
        <w:rPr>
          <w:rFonts w:ascii="Times New Roman" w:hAnsi="Times New Roman" w:cs="Times New Roman"/>
          <w:b/>
          <w:sz w:val="24"/>
          <w:szCs w:val="24"/>
        </w:rPr>
        <w:t>Kapsam</w:t>
      </w:r>
    </w:p>
    <w:p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rsidR="008A60EC" w:rsidRDefault="008A60EC" w:rsidP="00E372D8">
      <w:pPr>
        <w:tabs>
          <w:tab w:val="left" w:pos="566"/>
        </w:tabs>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sz w:val="24"/>
          <w:szCs w:val="24"/>
        </w:rPr>
        <w:t>Dayanak</w:t>
      </w:r>
    </w:p>
    <w:p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rsidR="008A60EC" w:rsidRDefault="008A60EC" w:rsidP="00E372D8">
      <w:pPr>
        <w:spacing w:line="240" w:lineRule="auto"/>
        <w:ind w:firstLine="567"/>
        <w:rPr>
          <w:rFonts w:ascii="Times New Roman" w:hAnsi="Times New Roman" w:cs="Times New Roman"/>
          <w:sz w:val="24"/>
          <w:szCs w:val="24"/>
        </w:rPr>
      </w:pPr>
    </w:p>
    <w:p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ç) Hesaplama yapılırken, son 30 günde sıfırdan farklı ticari işlem onayı olan gün sayısının “k” </w:t>
      </w:r>
      <w:proofErr w:type="gramStart"/>
      <w:r>
        <w:rPr>
          <w:rFonts w:ascii="Times New Roman" w:hAnsi="Times New Roman" w:cs="Times New Roman"/>
          <w:sz w:val="24"/>
          <w:szCs w:val="24"/>
        </w:rPr>
        <w:t>dan</w:t>
      </w:r>
      <w:proofErr w:type="gramEnd"/>
      <w:r>
        <w:rPr>
          <w:rFonts w:ascii="Times New Roman" w:hAnsi="Times New Roman" w:cs="Times New Roman"/>
          <w:sz w:val="24"/>
          <w:szCs w:val="24"/>
        </w:rPr>
        <w:t xml:space="preserve"> küçük olması halinde yalnızca bu günler teminat hesabında kullanılır.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rsidR="008A60EC" w:rsidRPr="00617F19" w:rsidRDefault="003C7CE9"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rsidR="00617F19" w:rsidRDefault="00617F19" w:rsidP="00FB0783">
      <w:pPr>
        <w:spacing w:line="240" w:lineRule="auto"/>
        <w:ind w:left="720" w:firstLine="709"/>
        <w:rPr>
          <w:rFonts w:ascii="Times New Roman" w:hAnsi="Times New Roman" w:cs="Times New Roman"/>
          <w:bCs/>
          <w:sz w:val="24"/>
          <w:szCs w:val="24"/>
        </w:rPr>
      </w:pPr>
    </w:p>
    <w:p w:rsidR="008A60EC" w:rsidRPr="00FB0783" w:rsidRDefault="003C7CE9"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rsidR="00FB0783" w:rsidRDefault="00FB0783">
      <w:pPr>
        <w:spacing w:line="240" w:lineRule="auto"/>
        <w:ind w:firstLine="709"/>
        <w:rPr>
          <w:rFonts w:ascii="Times New Roman" w:hAnsi="Times New Roman" w:cs="Times New Roman"/>
          <w:sz w:val="24"/>
          <w:szCs w:val="24"/>
        </w:rPr>
      </w:pPr>
    </w:p>
    <w:p w:rsidR="008A60EC" w:rsidRDefault="008A60EC">
      <w:pPr>
        <w:spacing w:line="240" w:lineRule="auto"/>
        <w:ind w:firstLine="709"/>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r>
        <w:rPr>
          <w:rFonts w:ascii="Times New Roman" w:hAnsi="Times New Roman" w:cs="Times New Roman"/>
          <w:sz w:val="24"/>
          <w:szCs w:val="24"/>
        </w:rPr>
        <w:lastRenderedPageBreak/>
        <w:t>dengesizliklerin uzlaştırılmasına ilişkin olarak hesaplanan teminat tutarları ve risk teminatı tutarları ilgili katılımcının ek teminat hesabında kullanılmaz.</w:t>
      </w:r>
      <w:proofErr w:type="gramEnd"/>
    </w:p>
    <w:p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rsidR="008A60EC" w:rsidRDefault="008A60EC">
      <w:pPr>
        <w:spacing w:line="240" w:lineRule="auto"/>
        <w:ind w:firstLine="567"/>
        <w:rPr>
          <w:rFonts w:ascii="Times New Roman" w:hAnsi="Times New Roman" w:cs="Times New Roman"/>
          <w:sz w:val="24"/>
          <w:szCs w:val="24"/>
        </w:rPr>
      </w:pPr>
    </w:p>
    <w:p w:rsidR="0082018A" w:rsidRDefault="0082018A">
      <w:pPr>
        <w:spacing w:line="240" w:lineRule="auto"/>
        <w:ind w:firstLine="567"/>
      </w:pPr>
    </w:p>
    <w:p w:rsidR="008C77CE" w:rsidRPr="008C77CE" w:rsidRDefault="003C7CE9"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rsidR="008C77CE" w:rsidRDefault="008C77CE" w:rsidP="00C17CD8">
      <w:pPr>
        <w:spacing w:line="240" w:lineRule="auto"/>
      </w:pPr>
    </w:p>
    <w:p w:rsidR="00FE2B9D" w:rsidRDefault="00FE2B9D" w:rsidP="00C17CD8">
      <w:pPr>
        <w:spacing w:line="240" w:lineRule="auto"/>
        <w:rPr>
          <w:rFonts w:ascii="Times New Roman" w:hAnsi="Times New Roman" w:cs="Times New Roman"/>
          <w:sz w:val="24"/>
          <w:szCs w:val="24"/>
        </w:rPr>
      </w:pPr>
    </w:p>
    <w:p w:rsidR="008E4EDE" w:rsidRPr="00C17CD8" w:rsidRDefault="003C7CE9"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rsidR="008A60EC" w:rsidRDefault="008A60EC">
      <w:pPr>
        <w:spacing w:line="240" w:lineRule="auto"/>
        <w:ind w:firstLine="567"/>
        <w:rPr>
          <w:rFonts w:ascii="Times New Roman" w:hAnsi="Times New Roman" w:cs="Times New Roman"/>
          <w:sz w:val="24"/>
          <w:szCs w:val="24"/>
        </w:rPr>
      </w:pPr>
    </w:p>
    <w:p w:rsidR="008A60EC" w:rsidRPr="00C17CD8" w:rsidRDefault="003C7CE9"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rsidR="00CB5D55" w:rsidRPr="00C17CD8" w:rsidRDefault="00CB5D55" w:rsidP="00CB5D55">
      <w:pPr>
        <w:spacing w:line="240" w:lineRule="auto"/>
        <w:ind w:left="630" w:firstLine="567"/>
        <w:rPr>
          <w:rFonts w:ascii="Times New Roman" w:hAnsi="Times New Roman" w:cs="Times New Roman"/>
          <w:sz w:val="22"/>
          <w:szCs w:val="22"/>
        </w:rPr>
      </w:pP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rsidR="008A60EC" w:rsidRDefault="008A60EC">
      <w:pPr>
        <w:spacing w:line="240" w:lineRule="auto"/>
        <w:ind w:firstLine="567"/>
        <w:rPr>
          <w:rFonts w:ascii="Times New Roman" w:hAnsi="Times New Roman" w:cs="Times New Roman"/>
          <w:sz w:val="24"/>
          <w:szCs w:val="24"/>
        </w:rPr>
      </w:pPr>
    </w:p>
    <w:p w:rsidR="008C77CE" w:rsidRPr="008E4EDE" w:rsidRDefault="003C7CE9"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rsidR="008A60EC" w:rsidRDefault="008A60EC">
      <w:pPr>
        <w:spacing w:line="240" w:lineRule="auto"/>
        <w:ind w:firstLine="567"/>
        <w:rPr>
          <w:rFonts w:ascii="Times New Roman" w:hAnsi="Times New Roman" w:cs="Times New Roman"/>
          <w:sz w:val="24"/>
          <w:szCs w:val="24"/>
        </w:rPr>
      </w:pPr>
    </w:p>
    <w:p w:rsidR="008A60EC" w:rsidRDefault="008A60EC">
      <w:pPr>
        <w:spacing w:line="240" w:lineRule="auto"/>
        <w:ind w:firstLine="567"/>
      </w:pPr>
      <w:r>
        <w:rPr>
          <w:rFonts w:ascii="Times New Roman" w:hAnsi="Times New Roman" w:cs="Times New Roman"/>
          <w:sz w:val="24"/>
          <w:szCs w:val="24"/>
        </w:rPr>
        <w:t>(2) Bu formüllerde geçen;</w:t>
      </w:r>
    </w:p>
    <w:p w:rsidR="008A60EC" w:rsidRDefault="008A60EC">
      <w:pPr>
        <w:spacing w:line="240" w:lineRule="auto"/>
        <w:ind w:firstLine="567"/>
        <w:rPr>
          <w:rFonts w:ascii="Times New Roman" w:hAnsi="Times New Roman" w:cs="Times New Roman"/>
          <w:sz w:val="24"/>
          <w:szCs w:val="24"/>
        </w:rPr>
      </w:pPr>
    </w:p>
    <w:p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rsidR="008A60EC" w:rsidRPr="0042332A" w:rsidRDefault="008A60EC" w:rsidP="00E372D8">
      <w:pPr>
        <w:spacing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 xml:space="preserve">yer alan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dengesizliğe ilişkin teminat hesaplamalarında kullanılan </w:t>
      </w:r>
      <w:proofErr w:type="spellStart"/>
      <w:r>
        <w:rPr>
          <w:rFonts w:ascii="Times New Roman" w:hAnsi="Times New Roman" w:cs="Times New Roman"/>
          <w:sz w:val="24"/>
          <w:szCs w:val="24"/>
        </w:rPr>
        <w:t>AOSMF’nin</w:t>
      </w:r>
      <w:proofErr w:type="spellEnd"/>
      <w:r>
        <w:rPr>
          <w:rFonts w:ascii="Times New Roman" w:hAnsi="Times New Roman" w:cs="Times New Roman"/>
          <w:sz w:val="24"/>
          <w:szCs w:val="24"/>
        </w:rPr>
        <w:t xml:space="preserve"> çarpılması neticesinde elde edilen tutara göre risk teminat hesabı yapılır.</w:t>
      </w:r>
    </w:p>
    <w:p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rsidR="008A60EC" w:rsidRDefault="008A60EC" w:rsidP="00E372D8">
      <w:pPr>
        <w:pStyle w:val="TEIASText"/>
        <w:spacing w:before="0" w:after="0"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rsidR="00CD3E55" w:rsidRDefault="00CD3E55" w:rsidP="00744615">
      <w:pPr>
        <w:spacing w:line="240" w:lineRule="auto"/>
        <w:rPr>
          <w:rStyle w:val="Emphasis"/>
          <w:rFonts w:ascii="Times New Roman" w:hAnsi="Times New Roman"/>
          <w:i w:val="0"/>
          <w:sz w:val="24"/>
          <w:szCs w:val="24"/>
        </w:rPr>
      </w:pPr>
    </w:p>
    <w:p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lastRenderedPageBreak/>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rsidR="00B412F7" w:rsidRDefault="00B412F7" w:rsidP="00E372D8">
      <w:pPr>
        <w:spacing w:line="240" w:lineRule="auto"/>
        <w:ind w:firstLine="567"/>
        <w:rPr>
          <w:rFonts w:ascii="Times New Roman" w:hAnsi="Times New Roman" w:cs="Times New Roman"/>
          <w:sz w:val="24"/>
          <w:szCs w:val="24"/>
        </w:rPr>
      </w:pPr>
    </w:p>
    <w:p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rsidR="008F6921" w:rsidRDefault="008F6921" w:rsidP="008F6921">
      <w:pPr>
        <w:spacing w:line="240" w:lineRule="auto"/>
        <w:ind w:firstLine="567"/>
        <w:rPr>
          <w:rFonts w:ascii="Times New Roman" w:hAnsi="Times New Roman" w:cs="Times New Roman"/>
          <w:sz w:val="24"/>
          <w:szCs w:val="24"/>
        </w:rPr>
      </w:pPr>
    </w:p>
    <w:p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2022</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rsidR="00BD0CE3" w:rsidRDefault="00BD0CE3" w:rsidP="008F6921">
      <w:pPr>
        <w:spacing w:line="240" w:lineRule="auto"/>
        <w:ind w:firstLine="567"/>
        <w:rPr>
          <w:rFonts w:ascii="Times New Roman" w:hAnsi="Times New Roman" w:cs="Times New Roman"/>
          <w:sz w:val="24"/>
          <w:szCs w:val="24"/>
        </w:rPr>
      </w:pPr>
    </w:p>
    <w:p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rsidR="007C0CFD" w:rsidRPr="00CB430F" w:rsidRDefault="007C0CFD" w:rsidP="007C0CFD">
      <w:pPr>
        <w:tabs>
          <w:tab w:val="left" w:pos="540"/>
          <w:tab w:val="left" w:pos="566"/>
          <w:tab w:val="left" w:pos="1587"/>
        </w:tabs>
        <w:spacing w:line="240" w:lineRule="auto"/>
        <w:ind w:firstLine="567"/>
        <w:rPr>
          <w:rFonts w:ascii="Times New Roman" w:hAnsi="Times New Roman"/>
          <w:color w:val="000000" w:themeColor="text1"/>
          <w:sz w:val="24"/>
          <w:szCs w:val="24"/>
        </w:rPr>
      </w:pPr>
      <w:proofErr w:type="gramStart"/>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Bu maddenin yürürlüğe girdiği tarihten itibaren Kasım 2022 fatura döneminin ilk iş gününe kadar,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ile Sistem İşletmecisi için 5 inci maddenin birinci fıkrasının (b) bendi uyarınca hesaplanan “r” katsayısı aynı fıkranın (c) bendi uyarınca yapılacak hesaplamada 1 (bir)  olarak uygulanır.</w:t>
      </w:r>
      <w:proofErr w:type="gramEnd"/>
    </w:p>
    <w:p w:rsidR="00C56C27" w:rsidRPr="00B412F7" w:rsidRDefault="00C56C27" w:rsidP="008F6921">
      <w:pPr>
        <w:spacing w:line="240" w:lineRule="auto"/>
        <w:ind w:firstLine="567"/>
        <w:rPr>
          <w:rFonts w:ascii="Times New Roman" w:hAnsi="Times New Roman" w:cs="Times New Roman"/>
          <w:sz w:val="24"/>
          <w:szCs w:val="24"/>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rsidTr="00ED2BEC">
        <w:trPr>
          <w:jc w:val="center"/>
        </w:trPr>
        <w:tc>
          <w:tcPr>
            <w:tcW w:w="4283" w:type="dxa"/>
            <w:gridSpan w:val="2"/>
            <w:tcMar>
              <w:top w:w="0" w:type="dxa"/>
              <w:left w:w="108" w:type="dxa"/>
              <w:bottom w:w="0" w:type="dxa"/>
              <w:right w:w="108" w:type="dxa"/>
            </w:tcMar>
            <w:vAlign w:val="center"/>
            <w:hideMark/>
          </w:tcPr>
          <w:p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rsidTr="00ED2BEC">
        <w:trPr>
          <w:jc w:val="center"/>
        </w:trPr>
        <w:tc>
          <w:tcPr>
            <w:tcW w:w="8505" w:type="dxa"/>
            <w:gridSpan w:val="3"/>
            <w:tcMar>
              <w:top w:w="0" w:type="dxa"/>
              <w:left w:w="108" w:type="dxa"/>
              <w:bottom w:w="0" w:type="dxa"/>
              <w:right w:w="108" w:type="dxa"/>
            </w:tcMar>
            <w:hideMark/>
          </w:tcPr>
          <w:p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rsidTr="00ED2BEC">
        <w:trPr>
          <w:jc w:val="center"/>
        </w:trPr>
        <w:tc>
          <w:tcPr>
            <w:tcW w:w="4283" w:type="dxa"/>
            <w:gridSpan w:val="2"/>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rsidTr="00ED2BEC">
        <w:trPr>
          <w:jc w:val="center"/>
        </w:trPr>
        <w:tc>
          <w:tcPr>
            <w:tcW w:w="797" w:type="dxa"/>
            <w:tcMar>
              <w:top w:w="0" w:type="dxa"/>
              <w:left w:w="108" w:type="dxa"/>
              <w:bottom w:w="0" w:type="dxa"/>
              <w:right w:w="108" w:type="dxa"/>
            </w:tcMar>
          </w:tcPr>
          <w:p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rsidTr="00ED2BEC">
        <w:trPr>
          <w:jc w:val="center"/>
        </w:trPr>
        <w:tc>
          <w:tcPr>
            <w:tcW w:w="797" w:type="dxa"/>
            <w:tcMar>
              <w:top w:w="0" w:type="dxa"/>
              <w:left w:w="108" w:type="dxa"/>
              <w:bottom w:w="0" w:type="dxa"/>
              <w:right w:w="108" w:type="dxa"/>
            </w:tcMar>
          </w:tcPr>
          <w:p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rsidTr="00ED2BEC">
        <w:trPr>
          <w:jc w:val="center"/>
        </w:trPr>
        <w:tc>
          <w:tcPr>
            <w:tcW w:w="797" w:type="dxa"/>
            <w:tcMar>
              <w:top w:w="0" w:type="dxa"/>
              <w:left w:w="108" w:type="dxa"/>
              <w:bottom w:w="0" w:type="dxa"/>
              <w:right w:w="108" w:type="dxa"/>
            </w:tcMar>
          </w:tcPr>
          <w:p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rsidTr="00ED2BEC">
        <w:trPr>
          <w:jc w:val="center"/>
        </w:trPr>
        <w:tc>
          <w:tcPr>
            <w:tcW w:w="797" w:type="dxa"/>
            <w:tcMar>
              <w:top w:w="0" w:type="dxa"/>
              <w:left w:w="108" w:type="dxa"/>
              <w:bottom w:w="0" w:type="dxa"/>
              <w:right w:w="108" w:type="dxa"/>
            </w:tcMar>
          </w:tcPr>
          <w:p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rsidTr="00ED2BEC">
        <w:trPr>
          <w:jc w:val="center"/>
        </w:trPr>
        <w:tc>
          <w:tcPr>
            <w:tcW w:w="797" w:type="dxa"/>
            <w:tcMar>
              <w:top w:w="0" w:type="dxa"/>
              <w:left w:w="108" w:type="dxa"/>
              <w:bottom w:w="0" w:type="dxa"/>
              <w:right w:w="108" w:type="dxa"/>
            </w:tcMar>
          </w:tcPr>
          <w:p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rsidTr="00ED2BEC">
        <w:trPr>
          <w:jc w:val="center"/>
        </w:trPr>
        <w:tc>
          <w:tcPr>
            <w:tcW w:w="797" w:type="dxa"/>
            <w:tcMar>
              <w:top w:w="0" w:type="dxa"/>
              <w:left w:w="108" w:type="dxa"/>
              <w:bottom w:w="0" w:type="dxa"/>
              <w:right w:w="108" w:type="dxa"/>
            </w:tcMar>
          </w:tcPr>
          <w:p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bl>
    <w:p w:rsidR="004A694C" w:rsidRPr="00CD3E55" w:rsidRDefault="004A694C" w:rsidP="003C7CE9">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0"/>
      <w:headerReference w:type="default" r:id="rId11"/>
      <w:footerReference w:type="default" r:id="rId12"/>
      <w:headerReference w:type="first" r:id="rId13"/>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5FF" w:rsidRDefault="00B135FF">
      <w:pPr>
        <w:spacing w:line="240" w:lineRule="auto"/>
      </w:pPr>
      <w:r>
        <w:separator/>
      </w:r>
    </w:p>
  </w:endnote>
  <w:endnote w:type="continuationSeparator" w:id="0">
    <w:p w:rsidR="00B135FF" w:rsidRDefault="00B135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3C7CE9">
                            <w:rPr>
                              <w:rStyle w:val="PageNumber"/>
                              <w:noProof/>
                            </w:rPr>
                            <w:t>7</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3C7CE9">
                      <w:rPr>
                        <w:rStyle w:val="PageNumber"/>
                        <w:noProof/>
                      </w:rPr>
                      <w:t>7</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5FF" w:rsidRDefault="00B135FF">
      <w:pPr>
        <w:spacing w:line="240" w:lineRule="auto"/>
      </w:pPr>
      <w:r>
        <w:separator/>
      </w:r>
    </w:p>
  </w:footnote>
  <w:footnote w:type="continuationSeparator" w:id="0">
    <w:p w:rsidR="00B135FF" w:rsidRDefault="00B135F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F92AEE" w:rsidRDefault="003C7CE9" w:rsidP="00F92AEE">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F92AEE" w:rsidRPr="00F92AEE">
      <w:rPr>
        <w:rFonts w:ascii="Tahoma" w:hAnsi="Tahoma" w:cs="Tahoma"/>
        <w:color w:val="FF8000"/>
        <w:sz w:val="24"/>
      </w:rPr>
      <w:t>Kuruma Özel</w:t>
    </w:r>
    <w:r w:rsidR="00F92AEE" w:rsidRPr="00F92AEE">
      <w:rPr>
        <w:rFonts w:ascii="Tahoma" w:hAnsi="Tahoma" w:cs="Tahoma"/>
        <w:color w:val="000000"/>
        <w:sz w:val="24"/>
      </w:rPr>
      <w:t>-</w:t>
    </w:r>
    <w:r w:rsidR="00F92AEE" w:rsidRPr="00F92AEE">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CE9" w:rsidRDefault="003C7C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0AE" w:rsidRPr="00F92AEE" w:rsidRDefault="003C7CE9" w:rsidP="00F92AEE">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F92AEE" w:rsidRPr="00F92AEE">
      <w:rPr>
        <w:rFonts w:ascii="Tahoma" w:hAnsi="Tahoma" w:cs="Tahoma"/>
        <w:color w:val="FF8000"/>
        <w:sz w:val="24"/>
      </w:rPr>
      <w:t>Kuruma Özel</w:t>
    </w:r>
    <w:r w:rsidR="00F92AEE" w:rsidRPr="00F92AEE">
      <w:rPr>
        <w:rFonts w:ascii="Tahoma" w:hAnsi="Tahoma" w:cs="Tahoma"/>
        <w:color w:val="000000"/>
        <w:sz w:val="24"/>
      </w:rPr>
      <w:t>-</w:t>
    </w:r>
    <w:r w:rsidR="00F92AEE" w:rsidRPr="00F92AEE">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9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47575"/>
    <w:rsid w:val="0005349C"/>
    <w:rsid w:val="0007165D"/>
    <w:rsid w:val="00083B72"/>
    <w:rsid w:val="000872D5"/>
    <w:rsid w:val="00091729"/>
    <w:rsid w:val="000A6199"/>
    <w:rsid w:val="000D5C24"/>
    <w:rsid w:val="001076A4"/>
    <w:rsid w:val="0011145C"/>
    <w:rsid w:val="00113FEB"/>
    <w:rsid w:val="00124388"/>
    <w:rsid w:val="00130230"/>
    <w:rsid w:val="0013125E"/>
    <w:rsid w:val="00136346"/>
    <w:rsid w:val="00161EAF"/>
    <w:rsid w:val="00163933"/>
    <w:rsid w:val="00193809"/>
    <w:rsid w:val="001A24C3"/>
    <w:rsid w:val="001C3430"/>
    <w:rsid w:val="001E12A5"/>
    <w:rsid w:val="002121B2"/>
    <w:rsid w:val="00220714"/>
    <w:rsid w:val="00225123"/>
    <w:rsid w:val="00225410"/>
    <w:rsid w:val="00226C25"/>
    <w:rsid w:val="002331A6"/>
    <w:rsid w:val="0023378E"/>
    <w:rsid w:val="00236778"/>
    <w:rsid w:val="0026123F"/>
    <w:rsid w:val="002631C6"/>
    <w:rsid w:val="00276667"/>
    <w:rsid w:val="002B71D9"/>
    <w:rsid w:val="002C1100"/>
    <w:rsid w:val="002F6226"/>
    <w:rsid w:val="00300F1C"/>
    <w:rsid w:val="00301744"/>
    <w:rsid w:val="00336BF7"/>
    <w:rsid w:val="003465DC"/>
    <w:rsid w:val="00347A4C"/>
    <w:rsid w:val="00356668"/>
    <w:rsid w:val="00367196"/>
    <w:rsid w:val="00367841"/>
    <w:rsid w:val="00390A5B"/>
    <w:rsid w:val="003A52F8"/>
    <w:rsid w:val="003C7CE9"/>
    <w:rsid w:val="003F05A2"/>
    <w:rsid w:val="0042332A"/>
    <w:rsid w:val="00431939"/>
    <w:rsid w:val="004347CB"/>
    <w:rsid w:val="0043679F"/>
    <w:rsid w:val="0046102E"/>
    <w:rsid w:val="00461D62"/>
    <w:rsid w:val="00463AE5"/>
    <w:rsid w:val="00481487"/>
    <w:rsid w:val="004851D2"/>
    <w:rsid w:val="004A208D"/>
    <w:rsid w:val="004A694C"/>
    <w:rsid w:val="004B6B18"/>
    <w:rsid w:val="004B7029"/>
    <w:rsid w:val="004D13D5"/>
    <w:rsid w:val="004E2210"/>
    <w:rsid w:val="004F4277"/>
    <w:rsid w:val="004F5123"/>
    <w:rsid w:val="00507EFB"/>
    <w:rsid w:val="00511469"/>
    <w:rsid w:val="0051553D"/>
    <w:rsid w:val="00533474"/>
    <w:rsid w:val="005425CE"/>
    <w:rsid w:val="005614ED"/>
    <w:rsid w:val="00564A02"/>
    <w:rsid w:val="00564A22"/>
    <w:rsid w:val="00575AC5"/>
    <w:rsid w:val="0057784D"/>
    <w:rsid w:val="00580BBF"/>
    <w:rsid w:val="00585713"/>
    <w:rsid w:val="00592A60"/>
    <w:rsid w:val="005B244E"/>
    <w:rsid w:val="005C33A6"/>
    <w:rsid w:val="005C6CA7"/>
    <w:rsid w:val="005D0403"/>
    <w:rsid w:val="006036B2"/>
    <w:rsid w:val="00606015"/>
    <w:rsid w:val="00617F19"/>
    <w:rsid w:val="00637B3F"/>
    <w:rsid w:val="00641979"/>
    <w:rsid w:val="0064568B"/>
    <w:rsid w:val="00647FC2"/>
    <w:rsid w:val="00655960"/>
    <w:rsid w:val="00656765"/>
    <w:rsid w:val="0065761A"/>
    <w:rsid w:val="006628CF"/>
    <w:rsid w:val="00683049"/>
    <w:rsid w:val="006A36B7"/>
    <w:rsid w:val="006B23F9"/>
    <w:rsid w:val="006B3455"/>
    <w:rsid w:val="006B6A69"/>
    <w:rsid w:val="006C2DF7"/>
    <w:rsid w:val="006D65AD"/>
    <w:rsid w:val="006E4FF7"/>
    <w:rsid w:val="006F0553"/>
    <w:rsid w:val="006F7D93"/>
    <w:rsid w:val="00707827"/>
    <w:rsid w:val="00710DC6"/>
    <w:rsid w:val="007124AB"/>
    <w:rsid w:val="00721679"/>
    <w:rsid w:val="00726307"/>
    <w:rsid w:val="00734DE6"/>
    <w:rsid w:val="00744615"/>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8445A"/>
    <w:rsid w:val="008A60EC"/>
    <w:rsid w:val="008B23DD"/>
    <w:rsid w:val="008C41C5"/>
    <w:rsid w:val="008C4977"/>
    <w:rsid w:val="008C77CE"/>
    <w:rsid w:val="008C7B8A"/>
    <w:rsid w:val="008E48FC"/>
    <w:rsid w:val="008E4EDE"/>
    <w:rsid w:val="008F441A"/>
    <w:rsid w:val="008F6921"/>
    <w:rsid w:val="00901D2E"/>
    <w:rsid w:val="00907ACB"/>
    <w:rsid w:val="00922440"/>
    <w:rsid w:val="00933295"/>
    <w:rsid w:val="00934C5F"/>
    <w:rsid w:val="009521E6"/>
    <w:rsid w:val="00954014"/>
    <w:rsid w:val="00954102"/>
    <w:rsid w:val="00972C62"/>
    <w:rsid w:val="009820AA"/>
    <w:rsid w:val="00987072"/>
    <w:rsid w:val="009A3256"/>
    <w:rsid w:val="009D13D8"/>
    <w:rsid w:val="009D1F49"/>
    <w:rsid w:val="009E7EBB"/>
    <w:rsid w:val="009F7D73"/>
    <w:rsid w:val="00A02A20"/>
    <w:rsid w:val="00A039BF"/>
    <w:rsid w:val="00A11775"/>
    <w:rsid w:val="00A14527"/>
    <w:rsid w:val="00A217F6"/>
    <w:rsid w:val="00A220E2"/>
    <w:rsid w:val="00A54B5F"/>
    <w:rsid w:val="00A6742D"/>
    <w:rsid w:val="00A83FB7"/>
    <w:rsid w:val="00A93C70"/>
    <w:rsid w:val="00AB10BA"/>
    <w:rsid w:val="00AB1A31"/>
    <w:rsid w:val="00AB2D41"/>
    <w:rsid w:val="00AB2F32"/>
    <w:rsid w:val="00B12C6F"/>
    <w:rsid w:val="00B135FF"/>
    <w:rsid w:val="00B36630"/>
    <w:rsid w:val="00B412F7"/>
    <w:rsid w:val="00B4650B"/>
    <w:rsid w:val="00B46A0A"/>
    <w:rsid w:val="00BB4D42"/>
    <w:rsid w:val="00BC06A3"/>
    <w:rsid w:val="00BD0CE3"/>
    <w:rsid w:val="00BF5F17"/>
    <w:rsid w:val="00C00DB3"/>
    <w:rsid w:val="00C17CD8"/>
    <w:rsid w:val="00C247E3"/>
    <w:rsid w:val="00C32D9F"/>
    <w:rsid w:val="00C52376"/>
    <w:rsid w:val="00C56C27"/>
    <w:rsid w:val="00C64801"/>
    <w:rsid w:val="00C71016"/>
    <w:rsid w:val="00C73B1D"/>
    <w:rsid w:val="00C838C4"/>
    <w:rsid w:val="00C86532"/>
    <w:rsid w:val="00CA3575"/>
    <w:rsid w:val="00CB4958"/>
    <w:rsid w:val="00CB5D55"/>
    <w:rsid w:val="00CD2D84"/>
    <w:rsid w:val="00CD3E55"/>
    <w:rsid w:val="00CE02CE"/>
    <w:rsid w:val="00CE569E"/>
    <w:rsid w:val="00CF2C9B"/>
    <w:rsid w:val="00CF37F6"/>
    <w:rsid w:val="00CF5F40"/>
    <w:rsid w:val="00D0757B"/>
    <w:rsid w:val="00D44C00"/>
    <w:rsid w:val="00D47493"/>
    <w:rsid w:val="00D47CCD"/>
    <w:rsid w:val="00D50DCB"/>
    <w:rsid w:val="00D60FF1"/>
    <w:rsid w:val="00D67293"/>
    <w:rsid w:val="00D87D60"/>
    <w:rsid w:val="00DA1B43"/>
    <w:rsid w:val="00DB0BBF"/>
    <w:rsid w:val="00DC2B54"/>
    <w:rsid w:val="00DE1149"/>
    <w:rsid w:val="00E170DE"/>
    <w:rsid w:val="00E314C1"/>
    <w:rsid w:val="00E372D8"/>
    <w:rsid w:val="00E506E3"/>
    <w:rsid w:val="00E50CF4"/>
    <w:rsid w:val="00E57F9B"/>
    <w:rsid w:val="00E756F7"/>
    <w:rsid w:val="00E75FA6"/>
    <w:rsid w:val="00E84817"/>
    <w:rsid w:val="00E929F9"/>
    <w:rsid w:val="00EC357B"/>
    <w:rsid w:val="00ED2BEC"/>
    <w:rsid w:val="00ED429B"/>
    <w:rsid w:val="00EE5165"/>
    <w:rsid w:val="00EF05FF"/>
    <w:rsid w:val="00F0693B"/>
    <w:rsid w:val="00F16C30"/>
    <w:rsid w:val="00F32F86"/>
    <w:rsid w:val="00F33566"/>
    <w:rsid w:val="00F47CA2"/>
    <w:rsid w:val="00F519FF"/>
    <w:rsid w:val="00F51DDE"/>
    <w:rsid w:val="00F543EE"/>
    <w:rsid w:val="00F77BF4"/>
    <w:rsid w:val="00F86ACC"/>
    <w:rsid w:val="00F92AEE"/>
    <w:rsid w:val="00FA14F7"/>
    <w:rsid w:val="00FA15D3"/>
    <w:rsid w:val="00FB0783"/>
    <w:rsid w:val="00FB612B"/>
    <w:rsid w:val="00FB6551"/>
    <w:rsid w:val="00FB678F"/>
    <w:rsid w:val="00FC2D22"/>
    <w:rsid w:val="00FD2778"/>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14403-D811-4EAC-B58E-D97053EC12C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A8B5C251-4459-4276-8974-2E975858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6</TotalTime>
  <Pages>7</Pages>
  <Words>2956</Words>
  <Characters>16855</Characters>
  <Application>Microsoft Office Word</Application>
  <DocSecurity>0</DocSecurity>
  <Lines>140</Lines>
  <Paragraphs>39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Project Management Program</vt:lpstr>
      <vt:lpstr>Project Management Program</vt:lpstr>
    </vt:vector>
  </TitlesOfParts>
  <Company/>
  <LinksUpToDate>false</LinksUpToDate>
  <CharactersWithSpaces>19772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 / Kişisel Veri içermez</cp:keywords>
  <cp:lastModifiedBy>Behlül Ayar</cp:lastModifiedBy>
  <cp:revision>5</cp:revision>
  <cp:lastPrinted>2017-06-05T12:25:00Z</cp:lastPrinted>
  <dcterms:created xsi:type="dcterms:W3CDTF">2022-08-22T07:51:00Z</dcterms:created>
  <dcterms:modified xsi:type="dcterms:W3CDTF">2022-08-22T08:42:00Z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1b72a563-d6dc-4744-adcb-79bdfacf44cc</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