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35102" w14:textId="77777777" w:rsidR="001E6F73" w:rsidRPr="001E6F73" w:rsidRDefault="001E6F73" w:rsidP="001E6F73">
      <w:pPr>
        <w:pStyle w:val="PlainText"/>
        <w:spacing w:line="276" w:lineRule="auto"/>
        <w:contextualSpacing/>
        <w:jc w:val="center"/>
        <w:rPr>
          <w:rFonts w:ascii="Times New Roman" w:hAnsi="Times New Roman" w:cs="Times New Roman"/>
          <w:color w:val="BFBFBF" w:themeColor="background1" w:themeShade="BF"/>
          <w:sz w:val="24"/>
          <w:szCs w:val="24"/>
        </w:rPr>
      </w:pPr>
      <w:r w:rsidRPr="001E6F73">
        <w:rPr>
          <w:rFonts w:ascii="Times New Roman" w:hAnsi="Times New Roman" w:cs="Times New Roman"/>
          <w:color w:val="BFBFBF" w:themeColor="background1" w:themeShade="BF"/>
          <w:sz w:val="24"/>
          <w:szCs w:val="24"/>
        </w:rPr>
        <w:t>2</w:t>
      </w:r>
      <w:r>
        <w:rPr>
          <w:rFonts w:ascii="Times New Roman" w:hAnsi="Times New Roman" w:cs="Times New Roman"/>
          <w:color w:val="BFBFBF" w:themeColor="background1" w:themeShade="BF"/>
          <w:sz w:val="24"/>
          <w:szCs w:val="24"/>
        </w:rPr>
        <w:t>8 Mayıs 2016 tarihli ve 29725</w:t>
      </w:r>
      <w:r w:rsidRPr="001E6F73">
        <w:rPr>
          <w:rFonts w:ascii="Times New Roman" w:hAnsi="Times New Roman" w:cs="Times New Roman"/>
          <w:color w:val="BFBFBF" w:themeColor="background1" w:themeShade="BF"/>
          <w:sz w:val="24"/>
          <w:szCs w:val="24"/>
        </w:rPr>
        <w:t xml:space="preserve"> sayılı Resmî Gazete</w:t>
      </w:r>
      <w:r>
        <w:rPr>
          <w:rFonts w:ascii="Times New Roman" w:hAnsi="Times New Roman" w:cs="Times New Roman"/>
          <w:color w:val="BFBFBF" w:themeColor="background1" w:themeShade="BF"/>
          <w:sz w:val="24"/>
          <w:szCs w:val="24"/>
        </w:rPr>
        <w:t>de</w:t>
      </w:r>
      <w:r w:rsidRPr="001E6F73">
        <w:rPr>
          <w:rFonts w:ascii="Times New Roman" w:hAnsi="Times New Roman" w:cs="Times New Roman"/>
          <w:color w:val="BFBFBF" w:themeColor="background1" w:themeShade="BF"/>
          <w:sz w:val="24"/>
          <w:szCs w:val="24"/>
        </w:rPr>
        <w:t xml:space="preserve"> yayınlanmıştır.</w:t>
      </w:r>
    </w:p>
    <w:p w14:paraId="01979EA9" w14:textId="77777777" w:rsidR="001E6F73" w:rsidRPr="001E6F73" w:rsidRDefault="001E6F73" w:rsidP="001E6F73">
      <w:pPr>
        <w:spacing w:after="0"/>
        <w:contextualSpacing/>
        <w:rPr>
          <w:rFonts w:ascii="Times New Roman" w:hAnsi="Times New Roman"/>
          <w:b/>
          <w:sz w:val="24"/>
          <w:szCs w:val="24"/>
          <w:u w:val="single"/>
        </w:rPr>
      </w:pPr>
    </w:p>
    <w:p w14:paraId="30AE6049" w14:textId="77777777" w:rsidR="001E6F73" w:rsidRPr="001E6F73" w:rsidRDefault="001E6F73" w:rsidP="001E6F73">
      <w:pPr>
        <w:spacing w:after="0"/>
        <w:contextualSpacing/>
        <w:rPr>
          <w:rFonts w:ascii="Times New Roman" w:hAnsi="Times New Roman"/>
          <w:b/>
          <w:sz w:val="24"/>
          <w:szCs w:val="24"/>
          <w:u w:val="single"/>
        </w:rPr>
      </w:pPr>
      <w:r w:rsidRPr="001E6F73">
        <w:rPr>
          <w:rFonts w:ascii="Times New Roman" w:hAnsi="Times New Roman"/>
          <w:b/>
          <w:sz w:val="24"/>
          <w:szCs w:val="24"/>
          <w:u w:val="single"/>
        </w:rPr>
        <w:t>Enerji Piyasası Düzenleme Kurumundan :</w:t>
      </w:r>
    </w:p>
    <w:p w14:paraId="2CB08E6A" w14:textId="77777777" w:rsidR="001E6F73" w:rsidRPr="001E6F73" w:rsidRDefault="001E6F73" w:rsidP="001E6F73">
      <w:pPr>
        <w:spacing w:after="0"/>
        <w:contextualSpacing/>
        <w:jc w:val="both"/>
        <w:rPr>
          <w:rFonts w:ascii="Times New Roman" w:hAnsi="Times New Roman"/>
          <w:b/>
          <w:sz w:val="24"/>
          <w:szCs w:val="24"/>
          <w:u w:val="single"/>
        </w:rPr>
      </w:pPr>
    </w:p>
    <w:p w14:paraId="0C5438D6" w14:textId="77777777" w:rsidR="001E6F73" w:rsidRPr="001E6F73" w:rsidRDefault="001E6F73" w:rsidP="001E6F73">
      <w:pPr>
        <w:spacing w:after="0"/>
        <w:contextualSpacing/>
        <w:jc w:val="both"/>
        <w:rPr>
          <w:rFonts w:ascii="Times New Roman" w:hAnsi="Times New Roman"/>
          <w:b/>
          <w:sz w:val="24"/>
          <w:szCs w:val="24"/>
          <w:u w:val="single"/>
        </w:rPr>
      </w:pPr>
    </w:p>
    <w:p w14:paraId="16152E0B" w14:textId="77777777" w:rsidR="001E6F73" w:rsidRPr="001E6F73" w:rsidRDefault="001E6F73" w:rsidP="001E6F73">
      <w:pPr>
        <w:spacing w:after="0"/>
        <w:contextualSpacing/>
        <w:jc w:val="both"/>
        <w:rPr>
          <w:rFonts w:ascii="Times New Roman" w:hAnsi="Times New Roman"/>
          <w:b/>
          <w:sz w:val="24"/>
          <w:szCs w:val="24"/>
          <w:u w:val="single"/>
        </w:rPr>
      </w:pPr>
    </w:p>
    <w:p w14:paraId="459411FB" w14:textId="77777777" w:rsidR="001E6F73" w:rsidRPr="001E6F73" w:rsidRDefault="001E6F73" w:rsidP="001E6F73">
      <w:pPr>
        <w:tabs>
          <w:tab w:val="left" w:pos="1455"/>
          <w:tab w:val="center" w:pos="4536"/>
        </w:tabs>
        <w:spacing w:after="0"/>
        <w:contextualSpacing/>
        <w:rPr>
          <w:rFonts w:ascii="Times New Roman" w:hAnsi="Times New Roman"/>
          <w:b/>
          <w:sz w:val="24"/>
          <w:szCs w:val="24"/>
        </w:rPr>
      </w:pPr>
      <w:r w:rsidRPr="001E6F73">
        <w:rPr>
          <w:rFonts w:ascii="Times New Roman" w:hAnsi="Times New Roman"/>
          <w:b/>
          <w:sz w:val="24"/>
          <w:szCs w:val="24"/>
        </w:rPr>
        <w:tab/>
      </w:r>
      <w:r w:rsidRPr="001E6F73">
        <w:rPr>
          <w:rFonts w:ascii="Times New Roman" w:hAnsi="Times New Roman"/>
          <w:b/>
          <w:sz w:val="24"/>
          <w:szCs w:val="24"/>
        </w:rPr>
        <w:tab/>
        <w:t>KURUL KARARI</w:t>
      </w:r>
    </w:p>
    <w:p w14:paraId="5C82B24C" w14:textId="77777777" w:rsidR="001E6F73" w:rsidRPr="001E6F73" w:rsidRDefault="001E6F73" w:rsidP="001E6F73">
      <w:pPr>
        <w:spacing w:after="0"/>
        <w:contextualSpacing/>
        <w:jc w:val="center"/>
        <w:rPr>
          <w:rFonts w:ascii="Times New Roman" w:hAnsi="Times New Roman"/>
          <w:b/>
          <w:sz w:val="24"/>
          <w:szCs w:val="24"/>
        </w:rPr>
      </w:pPr>
    </w:p>
    <w:p w14:paraId="1CFEE32E" w14:textId="77777777" w:rsidR="001E6F73" w:rsidRPr="001E6F73" w:rsidRDefault="001E6F73" w:rsidP="001E6F73">
      <w:pPr>
        <w:spacing w:after="0"/>
        <w:contextualSpacing/>
        <w:rPr>
          <w:rFonts w:ascii="Times New Roman" w:hAnsi="Times New Roman"/>
          <w:sz w:val="24"/>
          <w:szCs w:val="24"/>
        </w:rPr>
      </w:pPr>
      <w:r w:rsidRPr="001E6F73">
        <w:rPr>
          <w:rFonts w:ascii="Times New Roman" w:hAnsi="Times New Roman"/>
          <w:b/>
          <w:sz w:val="24"/>
          <w:szCs w:val="24"/>
        </w:rPr>
        <w:t xml:space="preserve">Karar No : </w:t>
      </w:r>
      <w:r>
        <w:rPr>
          <w:rFonts w:ascii="Times New Roman" w:hAnsi="Times New Roman"/>
          <w:sz w:val="24"/>
          <w:szCs w:val="24"/>
        </w:rPr>
        <w:t xml:space="preserve">6282-2   </w:t>
      </w:r>
      <w:r w:rsidRPr="001E6F73">
        <w:rPr>
          <w:rFonts w:ascii="Times New Roman" w:hAnsi="Times New Roman"/>
          <w:sz w:val="24"/>
          <w:szCs w:val="24"/>
        </w:rPr>
        <w:t xml:space="preserve"> </w:t>
      </w:r>
      <w:r w:rsidRPr="001E6F73">
        <w:rPr>
          <w:rFonts w:ascii="Times New Roman" w:hAnsi="Times New Roman"/>
          <w:b/>
          <w:sz w:val="24"/>
          <w:szCs w:val="24"/>
        </w:rPr>
        <w:t xml:space="preserve">                                                                       Karar Tarihi : </w:t>
      </w:r>
      <w:r w:rsidR="009C730F">
        <w:rPr>
          <w:rFonts w:ascii="Times New Roman" w:hAnsi="Times New Roman"/>
          <w:sz w:val="24"/>
          <w:szCs w:val="24"/>
        </w:rPr>
        <w:t>13</w:t>
      </w:r>
      <w:r w:rsidRPr="001E6F73">
        <w:rPr>
          <w:rFonts w:ascii="Times New Roman" w:hAnsi="Times New Roman"/>
          <w:sz w:val="24"/>
          <w:szCs w:val="24"/>
        </w:rPr>
        <w:t>/</w:t>
      </w:r>
      <w:r>
        <w:rPr>
          <w:rFonts w:ascii="Times New Roman" w:hAnsi="Times New Roman"/>
          <w:sz w:val="24"/>
          <w:szCs w:val="24"/>
        </w:rPr>
        <w:t>05</w:t>
      </w:r>
      <w:r w:rsidRPr="001E6F73">
        <w:rPr>
          <w:rFonts w:ascii="Times New Roman" w:hAnsi="Times New Roman"/>
          <w:sz w:val="24"/>
          <w:szCs w:val="24"/>
        </w:rPr>
        <w:t>/2016</w:t>
      </w:r>
    </w:p>
    <w:p w14:paraId="795E1FD1" w14:textId="77777777" w:rsidR="001E6F73" w:rsidRPr="001E6F73" w:rsidRDefault="001E6F73" w:rsidP="001E6F73">
      <w:pPr>
        <w:spacing w:after="0"/>
        <w:contextualSpacing/>
        <w:rPr>
          <w:rFonts w:ascii="Times New Roman" w:hAnsi="Times New Roman"/>
          <w:sz w:val="24"/>
          <w:szCs w:val="24"/>
        </w:rPr>
      </w:pPr>
    </w:p>
    <w:p w14:paraId="2AF79967" w14:textId="77777777" w:rsidR="001E6F73" w:rsidRPr="001E6F73" w:rsidRDefault="001E6F73" w:rsidP="001E6F73">
      <w:pPr>
        <w:spacing w:after="0"/>
        <w:contextualSpacing/>
        <w:rPr>
          <w:rFonts w:ascii="Times New Roman" w:hAnsi="Times New Roman"/>
          <w:b/>
          <w:sz w:val="24"/>
          <w:szCs w:val="24"/>
        </w:rPr>
      </w:pPr>
    </w:p>
    <w:p w14:paraId="77C4BD49" w14:textId="77777777" w:rsidR="001E6F73" w:rsidRPr="001E6F73" w:rsidRDefault="001E6F73" w:rsidP="001E6F73">
      <w:pPr>
        <w:pStyle w:val="MaddeUstBaslik"/>
        <w:spacing w:line="276" w:lineRule="auto"/>
        <w:ind w:firstLine="567"/>
        <w:contextualSpacing/>
        <w:jc w:val="both"/>
        <w:rPr>
          <w:b w:val="0"/>
        </w:rPr>
      </w:pPr>
      <w:r w:rsidRPr="001E6F73">
        <w:rPr>
          <w:b w:val="0"/>
        </w:rPr>
        <w:t xml:space="preserve">Enerji </w:t>
      </w:r>
      <w:r>
        <w:rPr>
          <w:b w:val="0"/>
        </w:rPr>
        <w:t>Piyasası Düzenleme Kurulunun 13/05</w:t>
      </w:r>
      <w:r w:rsidRPr="001E6F73">
        <w:rPr>
          <w:b w:val="0"/>
        </w:rPr>
        <w:t>/2016 tarihli toplantısında; ekteki “Gün Öncesi Piyasası Tekliflerinin Yapısı Ve Tekliflerin Değerlendirilmesine İlişkin Usul Ve Esaslar”ın kabul edilerek Resmi Gazete’de yayımlanmasına,</w:t>
      </w:r>
    </w:p>
    <w:p w14:paraId="519E948D" w14:textId="77777777" w:rsidR="001E6F73" w:rsidRPr="001E6F73" w:rsidRDefault="001E6F73" w:rsidP="001E6F73">
      <w:pPr>
        <w:spacing w:after="0"/>
        <w:contextualSpacing/>
        <w:rPr>
          <w:rFonts w:ascii="Times New Roman" w:hAnsi="Times New Roman"/>
          <w:sz w:val="24"/>
          <w:szCs w:val="24"/>
        </w:rPr>
      </w:pPr>
    </w:p>
    <w:p w14:paraId="4BB5C8F4" w14:textId="77777777" w:rsidR="001E6F73" w:rsidRPr="001E6F73" w:rsidRDefault="001E6F73" w:rsidP="001E6F73">
      <w:pPr>
        <w:spacing w:after="0"/>
        <w:ind w:firstLine="567"/>
        <w:contextualSpacing/>
        <w:rPr>
          <w:rFonts w:ascii="Times New Roman" w:hAnsi="Times New Roman"/>
          <w:sz w:val="24"/>
          <w:szCs w:val="24"/>
        </w:rPr>
      </w:pPr>
      <w:r w:rsidRPr="001E6F73">
        <w:rPr>
          <w:rFonts w:ascii="Times New Roman" w:hAnsi="Times New Roman"/>
          <w:sz w:val="24"/>
          <w:szCs w:val="24"/>
        </w:rPr>
        <w:t>karar verilmiştir.</w:t>
      </w:r>
    </w:p>
    <w:p w14:paraId="17EB096B" w14:textId="77777777" w:rsidR="001E6F73" w:rsidRPr="001E6F73" w:rsidRDefault="001E6F73" w:rsidP="001E6F73">
      <w:pPr>
        <w:pStyle w:val="MaddeUstBaslik"/>
        <w:spacing w:line="276" w:lineRule="auto"/>
        <w:contextualSpacing/>
      </w:pPr>
    </w:p>
    <w:p w14:paraId="2ED4FA01" w14:textId="77777777" w:rsidR="001E6F73" w:rsidRPr="001E6F73" w:rsidRDefault="001E6F73" w:rsidP="001E6F73">
      <w:pPr>
        <w:spacing w:after="0"/>
        <w:contextualSpacing/>
        <w:rPr>
          <w:rFonts w:ascii="Times New Roman" w:hAnsi="Times New Roman"/>
          <w:sz w:val="24"/>
          <w:szCs w:val="24"/>
        </w:rPr>
      </w:pPr>
    </w:p>
    <w:p w14:paraId="3B87D1AE" w14:textId="77777777" w:rsidR="001E6F73" w:rsidRPr="001E6F73" w:rsidRDefault="001E6F73" w:rsidP="001E6F73">
      <w:pPr>
        <w:pStyle w:val="MaddeUstBaslik"/>
        <w:spacing w:line="276" w:lineRule="auto"/>
        <w:ind w:left="7788"/>
        <w:contextualSpacing/>
      </w:pPr>
      <w:r w:rsidRPr="001E6F73">
        <w:t xml:space="preserve">          EK-1</w:t>
      </w:r>
    </w:p>
    <w:p w14:paraId="6483C777" w14:textId="77777777" w:rsidR="001E6F73" w:rsidRPr="001E6F73" w:rsidRDefault="001E6F73" w:rsidP="001E6F73">
      <w:pPr>
        <w:spacing w:after="0"/>
        <w:contextualSpacing/>
        <w:rPr>
          <w:rFonts w:ascii="Times New Roman" w:hAnsi="Times New Roman"/>
          <w:sz w:val="24"/>
          <w:szCs w:val="24"/>
        </w:rPr>
      </w:pPr>
    </w:p>
    <w:p w14:paraId="2E881678" w14:textId="77777777" w:rsidR="001E6F73" w:rsidRPr="00F664F9" w:rsidRDefault="001E6F73" w:rsidP="001E6F73">
      <w:pPr>
        <w:spacing w:after="0" w:line="240" w:lineRule="auto"/>
        <w:jc w:val="center"/>
        <w:rPr>
          <w:rFonts w:ascii="Times New Roman" w:eastAsia="Times New Roman" w:hAnsi="Times New Roman"/>
          <w:b/>
          <w:sz w:val="24"/>
          <w:szCs w:val="24"/>
        </w:rPr>
      </w:pPr>
      <w:r w:rsidRPr="00F664F9">
        <w:rPr>
          <w:rFonts w:ascii="Times New Roman" w:eastAsia="Times New Roman" w:hAnsi="Times New Roman"/>
          <w:b/>
          <w:sz w:val="24"/>
          <w:szCs w:val="24"/>
        </w:rPr>
        <w:t xml:space="preserve">GÜN ÖNCESİ PİYASASI TEKLİFLERİNİN YAPISI VE TEKLİFLERİN DEĞERLENDİRİLMESİNE İLİŞKİN USUL VE ESASLAR </w:t>
      </w:r>
    </w:p>
    <w:p w14:paraId="35D2C533" w14:textId="77777777" w:rsidR="001E6F73" w:rsidRPr="00F664F9" w:rsidRDefault="001E6F73" w:rsidP="001E6F73">
      <w:pPr>
        <w:spacing w:after="0" w:line="240" w:lineRule="auto"/>
        <w:jc w:val="center"/>
        <w:rPr>
          <w:rFonts w:ascii="Times New Roman" w:eastAsia="Times New Roman" w:hAnsi="Times New Roman"/>
          <w:b/>
          <w:sz w:val="24"/>
          <w:szCs w:val="24"/>
        </w:rPr>
      </w:pPr>
    </w:p>
    <w:p w14:paraId="71E3F391" w14:textId="77777777" w:rsidR="001E6F73" w:rsidRPr="00F664F9" w:rsidRDefault="001E6F73" w:rsidP="001E6F73">
      <w:pPr>
        <w:spacing w:after="0" w:line="240" w:lineRule="auto"/>
        <w:rPr>
          <w:rFonts w:ascii="Times New Roman" w:eastAsia="Times New Roman" w:hAnsi="Times New Roman"/>
          <w:b/>
          <w:sz w:val="24"/>
          <w:szCs w:val="24"/>
        </w:rPr>
      </w:pPr>
    </w:p>
    <w:p w14:paraId="5103EACD" w14:textId="77777777" w:rsidR="001E6F73" w:rsidRPr="00F664F9" w:rsidRDefault="001E6F73" w:rsidP="001E6F73">
      <w:pPr>
        <w:tabs>
          <w:tab w:val="left" w:pos="-5103"/>
        </w:tabs>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Amaç</w:t>
      </w:r>
    </w:p>
    <w:p w14:paraId="1E538E52" w14:textId="77777777" w:rsidR="001E6F73" w:rsidRPr="00F664F9" w:rsidRDefault="001E6F73" w:rsidP="001E6F73">
      <w:pPr>
        <w:tabs>
          <w:tab w:val="left" w:pos="-5103"/>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1 –</w:t>
      </w:r>
      <w:r w:rsidRPr="00F664F9">
        <w:rPr>
          <w:rFonts w:ascii="Times New Roman" w:eastAsia="Times New Roman" w:hAnsi="Times New Roman"/>
          <w:sz w:val="24"/>
          <w:szCs w:val="24"/>
        </w:rPr>
        <w:t xml:space="preserve"> (1) Bu Usul ve Esasların amacı; gün öncesi piyasasına sunulan alış ve satış tekliflerinin yapısı, içeriği ve değerlendirmesine ilişkin us</w:t>
      </w:r>
      <w:r>
        <w:rPr>
          <w:rFonts w:ascii="Times New Roman" w:eastAsia="Times New Roman" w:hAnsi="Times New Roman"/>
          <w:sz w:val="24"/>
          <w:szCs w:val="24"/>
        </w:rPr>
        <w:t>ul ve esaslarını belirlemektir.</w:t>
      </w:r>
    </w:p>
    <w:p w14:paraId="06879D16"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p>
    <w:p w14:paraId="1BA1F870"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Kapsam</w:t>
      </w:r>
    </w:p>
    <w:p w14:paraId="2FC490F1"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2 –</w:t>
      </w:r>
      <w:r w:rsidRPr="00F664F9">
        <w:rPr>
          <w:rFonts w:ascii="Times New Roman" w:eastAsia="Times New Roman" w:hAnsi="Times New Roman"/>
          <w:sz w:val="24"/>
          <w:szCs w:val="24"/>
        </w:rPr>
        <w:t xml:space="preserve"> (1) Bu Usul ve Esaslar; gün ön</w:t>
      </w:r>
      <w:r>
        <w:rPr>
          <w:rFonts w:ascii="Times New Roman" w:eastAsia="Times New Roman" w:hAnsi="Times New Roman"/>
          <w:sz w:val="24"/>
          <w:szCs w:val="24"/>
        </w:rPr>
        <w:t>cesi piyasasına sunulan saatlik</w:t>
      </w:r>
      <w:r w:rsidRPr="00F664F9">
        <w:rPr>
          <w:rFonts w:ascii="Times New Roman" w:eastAsia="Times New Roman" w:hAnsi="Times New Roman"/>
          <w:sz w:val="24"/>
          <w:szCs w:val="24"/>
        </w:rPr>
        <w:t xml:space="preserve"> blok ve esnek tekliklerinin yapısına, sunulan tekliflerin değerlendirilmesine ve fiyatların belirlenmesine ilişkin usul ve esasları kapsar.</w:t>
      </w:r>
    </w:p>
    <w:p w14:paraId="22F9467E"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p>
    <w:p w14:paraId="50121A8D"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Dayanak</w:t>
      </w:r>
    </w:p>
    <w:p w14:paraId="619177B3"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3 –</w:t>
      </w:r>
      <w:r w:rsidRPr="00F664F9">
        <w:rPr>
          <w:rFonts w:ascii="Times New Roman" w:eastAsia="Times New Roman" w:hAnsi="Times New Roman"/>
          <w:sz w:val="24"/>
          <w:szCs w:val="24"/>
        </w:rPr>
        <w:t xml:space="preserve"> (1) Bu Usul ve Esaslar, Elektrik Piyasası Dengeleme ve Uzlaştırma Yönetmeliğine dayanılarak hazırlanmıştır.</w:t>
      </w:r>
    </w:p>
    <w:p w14:paraId="24A9FE1F" w14:textId="77777777" w:rsidR="001E6F73" w:rsidRPr="00F664F9" w:rsidRDefault="001E6F73" w:rsidP="001E6F73">
      <w:pPr>
        <w:spacing w:after="0" w:line="240" w:lineRule="auto"/>
        <w:rPr>
          <w:rFonts w:ascii="Times New Roman" w:eastAsia="Times New Roman" w:hAnsi="Times New Roman"/>
          <w:b/>
          <w:sz w:val="24"/>
          <w:szCs w:val="24"/>
        </w:rPr>
      </w:pPr>
    </w:p>
    <w:p w14:paraId="2886BAEA"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Tanımlar</w:t>
      </w:r>
    </w:p>
    <w:p w14:paraId="53BD59B4" w14:textId="77777777" w:rsidR="001E6F73" w:rsidRPr="00F664F9" w:rsidRDefault="001E6F73" w:rsidP="001E6F73">
      <w:pPr>
        <w:spacing w:after="0" w:line="240" w:lineRule="auto"/>
        <w:ind w:firstLine="567"/>
        <w:rPr>
          <w:rFonts w:ascii="Times New Roman" w:eastAsia="Times New Roman" w:hAnsi="Times New Roman"/>
          <w:b/>
          <w:sz w:val="24"/>
          <w:szCs w:val="24"/>
        </w:rPr>
      </w:pPr>
      <w:r w:rsidRPr="00F664F9">
        <w:rPr>
          <w:rFonts w:ascii="Times New Roman" w:eastAsia="Times New Roman" w:hAnsi="Times New Roman"/>
          <w:b/>
          <w:sz w:val="24"/>
          <w:szCs w:val="24"/>
        </w:rPr>
        <w:t xml:space="preserve">MADDE 4 – </w:t>
      </w:r>
      <w:r w:rsidRPr="00F664F9">
        <w:rPr>
          <w:rFonts w:ascii="Times New Roman" w:eastAsia="Times New Roman" w:hAnsi="Times New Roman"/>
          <w:sz w:val="24"/>
          <w:szCs w:val="24"/>
        </w:rPr>
        <w:t>(1) Bu Usul ve Esaslarda geçen;</w:t>
      </w:r>
    </w:p>
    <w:p w14:paraId="22273F29"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 xml:space="preserve">a) Günlük </w:t>
      </w:r>
      <w:r>
        <w:rPr>
          <w:rFonts w:ascii="Times New Roman" w:eastAsia="Times New Roman" w:hAnsi="Times New Roman"/>
          <w:sz w:val="24"/>
          <w:szCs w:val="24"/>
        </w:rPr>
        <w:t>t</w:t>
      </w:r>
      <w:r w:rsidRPr="00F664F9">
        <w:rPr>
          <w:rFonts w:ascii="Times New Roman" w:eastAsia="Times New Roman" w:hAnsi="Times New Roman"/>
          <w:sz w:val="24"/>
          <w:szCs w:val="24"/>
        </w:rPr>
        <w:t xml:space="preserve">oplam </w:t>
      </w:r>
      <w:r>
        <w:rPr>
          <w:rFonts w:ascii="Times New Roman" w:eastAsia="Times New Roman" w:hAnsi="Times New Roman"/>
          <w:sz w:val="24"/>
          <w:szCs w:val="24"/>
        </w:rPr>
        <w:t>f</w:t>
      </w:r>
      <w:r w:rsidRPr="00F664F9">
        <w:rPr>
          <w:rFonts w:ascii="Times New Roman" w:eastAsia="Times New Roman" w:hAnsi="Times New Roman"/>
          <w:sz w:val="24"/>
          <w:szCs w:val="24"/>
        </w:rPr>
        <w:t>azla: Eşleştirme sonucu oluşan üreticilerin ve tüketicilerin fazlalarının günlük toplamını,</w:t>
      </w:r>
    </w:p>
    <w:p w14:paraId="56AEC988" w14:textId="77777777" w:rsidR="001E6F73" w:rsidRPr="00F664F9" w:rsidRDefault="001E6F73" w:rsidP="004814A7">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b)</w:t>
      </w:r>
      <w:r w:rsidR="004814A7">
        <w:rPr>
          <w:rStyle w:val="FootnoteReference"/>
          <w:rFonts w:ascii="Times New Roman" w:eastAsia="Times New Roman" w:hAnsi="Times New Roman"/>
          <w:sz w:val="24"/>
          <w:szCs w:val="24"/>
        </w:rPr>
        <w:footnoteReference w:id="1"/>
      </w:r>
      <w:r w:rsidR="004814A7" w:rsidRPr="00110FDC">
        <w:rPr>
          <w:rFonts w:ascii="Times New Roman" w:hAnsi="Times New Roman"/>
          <w:sz w:val="24"/>
          <w:szCs w:val="24"/>
        </w:rPr>
        <w:t>Optimizasyon yazılımı: PYS içerisinde yer alan ve gün öncesi piyasasında fiyat ve miktarları, teklif bölgeleri arası iletim kapasitelerini de dikkate alarak, günlük toplam fazlanın en yüksek değerini verecek şekilde hesaplayan yazılımı</w:t>
      </w:r>
      <w:r>
        <w:rPr>
          <w:rFonts w:ascii="Times New Roman" w:eastAsia="Times New Roman" w:hAnsi="Times New Roman"/>
          <w:sz w:val="24"/>
          <w:szCs w:val="24"/>
        </w:rPr>
        <w:t>,</w:t>
      </w:r>
    </w:p>
    <w:p w14:paraId="0A7644BF"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lastRenderedPageBreak/>
        <w:t>c)</w:t>
      </w:r>
      <w:r w:rsidRPr="00F664F9">
        <w:rPr>
          <w:rFonts w:ascii="Times New Roman" w:eastAsia="Times New Roman" w:hAnsi="Times New Roman"/>
          <w:b/>
          <w:sz w:val="24"/>
          <w:szCs w:val="24"/>
        </w:rPr>
        <w:t xml:space="preserve"> </w:t>
      </w:r>
      <w:r>
        <w:rPr>
          <w:rFonts w:ascii="Times New Roman" w:eastAsia="Times New Roman" w:hAnsi="Times New Roman"/>
          <w:sz w:val="24"/>
          <w:szCs w:val="24"/>
        </w:rPr>
        <w:t>Tüketicinin f</w:t>
      </w:r>
      <w:r w:rsidRPr="00F664F9">
        <w:rPr>
          <w:rFonts w:ascii="Times New Roman" w:eastAsia="Times New Roman" w:hAnsi="Times New Roman"/>
          <w:sz w:val="24"/>
          <w:szCs w:val="24"/>
        </w:rPr>
        <w:t>azlası: Bir katılımcının, eşleştirme sonucu oluşan alış miktarı için piyasaya teklif ettiği tutar ile bu miktarı almak için ödeyeceği tutar arasındaki farkı,</w:t>
      </w:r>
    </w:p>
    <w:p w14:paraId="7637FACC" w14:textId="77777777" w:rsidR="001E6F73"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hAnsi="Times New Roman"/>
          <w:sz w:val="24"/>
          <w:szCs w:val="24"/>
        </w:rPr>
        <w:t xml:space="preserve">ç) </w:t>
      </w:r>
      <w:r>
        <w:rPr>
          <w:rFonts w:ascii="Times New Roman" w:eastAsia="Times New Roman" w:hAnsi="Times New Roman"/>
          <w:sz w:val="24"/>
          <w:szCs w:val="24"/>
        </w:rPr>
        <w:t>Üreticinin f</w:t>
      </w:r>
      <w:r w:rsidRPr="00F664F9">
        <w:rPr>
          <w:rFonts w:ascii="Times New Roman" w:eastAsia="Times New Roman" w:hAnsi="Times New Roman"/>
          <w:sz w:val="24"/>
          <w:szCs w:val="24"/>
        </w:rPr>
        <w:t>azlası: Bir katılımcının, eşleştirme sonucu oluşan satış miktarı karşılığı alacağı tutar ile bu miktarı satmak için piyasaya teklif ettiği tutar arasındaki farkı</w:t>
      </w:r>
    </w:p>
    <w:p w14:paraId="5C9D52C7" w14:textId="77777777" w:rsidR="004814A7" w:rsidRPr="00110FDC" w:rsidRDefault="004814A7" w:rsidP="004814A7">
      <w:pPr>
        <w:tabs>
          <w:tab w:val="left" w:pos="566"/>
        </w:tabs>
        <w:spacing w:after="0" w:line="240" w:lineRule="auto"/>
        <w:ind w:firstLine="567"/>
        <w:jc w:val="both"/>
        <w:rPr>
          <w:rFonts w:ascii="Times New Roman" w:hAnsi="Times New Roman"/>
          <w:sz w:val="24"/>
          <w:szCs w:val="24"/>
        </w:rPr>
      </w:pPr>
      <w:r w:rsidRPr="00110FDC">
        <w:rPr>
          <w:rFonts w:ascii="Times New Roman" w:hAnsi="Times New Roman"/>
          <w:sz w:val="24"/>
          <w:szCs w:val="24"/>
        </w:rPr>
        <w:t>d)</w:t>
      </w:r>
      <w:r>
        <w:rPr>
          <w:rStyle w:val="FootnoteReference"/>
          <w:rFonts w:ascii="Times New Roman" w:hAnsi="Times New Roman"/>
          <w:sz w:val="24"/>
          <w:szCs w:val="24"/>
        </w:rPr>
        <w:footnoteReference w:id="2"/>
      </w:r>
      <w:r w:rsidRPr="00110FDC">
        <w:rPr>
          <w:rFonts w:ascii="Times New Roman" w:hAnsi="Times New Roman"/>
          <w:sz w:val="24"/>
          <w:szCs w:val="24"/>
        </w:rPr>
        <w:t xml:space="preserve"> Blok teklif kabul şartı fiyatı: Bir blok teklifin kabul edilmesi için dikkate alınan eşik fiyat değerini,</w:t>
      </w:r>
    </w:p>
    <w:p w14:paraId="1A7D8113" w14:textId="77777777" w:rsidR="004814A7" w:rsidRPr="004814A7" w:rsidRDefault="004814A7" w:rsidP="004814A7">
      <w:pPr>
        <w:tabs>
          <w:tab w:val="left" w:pos="566"/>
        </w:tabs>
        <w:spacing w:after="0" w:line="240" w:lineRule="auto"/>
        <w:ind w:firstLine="567"/>
        <w:jc w:val="both"/>
        <w:rPr>
          <w:rFonts w:ascii="Times New Roman" w:eastAsia="Times New Roman" w:hAnsi="Times New Roman"/>
          <w:sz w:val="24"/>
          <w:szCs w:val="24"/>
        </w:rPr>
      </w:pPr>
      <w:r w:rsidRPr="00110FDC">
        <w:rPr>
          <w:rFonts w:ascii="Times New Roman" w:hAnsi="Times New Roman"/>
          <w:sz w:val="24"/>
          <w:szCs w:val="24"/>
        </w:rPr>
        <w:t>e)</w:t>
      </w:r>
      <w:r>
        <w:rPr>
          <w:rStyle w:val="FootnoteReference"/>
          <w:rFonts w:ascii="Times New Roman" w:hAnsi="Times New Roman"/>
          <w:sz w:val="24"/>
          <w:szCs w:val="24"/>
        </w:rPr>
        <w:footnoteReference w:id="3"/>
      </w:r>
      <w:r w:rsidRPr="00110FDC">
        <w:rPr>
          <w:rFonts w:ascii="Times New Roman" w:hAnsi="Times New Roman"/>
          <w:sz w:val="24"/>
          <w:szCs w:val="24"/>
        </w:rPr>
        <w:t xml:space="preserve"> Esnek teklif kabul şartı fiyatı: Bir esnek teklifin kabul edilmesi için dikkate alınan eşik fiyat değerini,</w:t>
      </w:r>
    </w:p>
    <w:p w14:paraId="5BCD7524"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ifade eder.</w:t>
      </w:r>
    </w:p>
    <w:p w14:paraId="7413CB9A"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(2) Bu Usul ve Esaslarda geçmekle birlikte tanımlanmamış diğer terim ve kavramlar ilgili mevzuattaki anlam ve kapsama sahiptir.</w:t>
      </w:r>
    </w:p>
    <w:p w14:paraId="3676D7DE" w14:textId="77777777" w:rsidR="001E6F73" w:rsidRPr="00F664F9" w:rsidRDefault="001E6F73" w:rsidP="001E6F73">
      <w:pPr>
        <w:spacing w:after="0" w:line="240" w:lineRule="auto"/>
        <w:rPr>
          <w:rFonts w:ascii="Times New Roman" w:eastAsia="Times New Roman" w:hAnsi="Times New Roman"/>
          <w:b/>
          <w:sz w:val="24"/>
          <w:szCs w:val="24"/>
        </w:rPr>
      </w:pPr>
    </w:p>
    <w:p w14:paraId="0844427C"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Saatlik tekliflerin yapısı ve içeriği</w:t>
      </w:r>
    </w:p>
    <w:p w14:paraId="3DB73290"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5 –</w:t>
      </w:r>
      <w:r w:rsidRPr="00F664F9">
        <w:rPr>
          <w:rFonts w:ascii="Times New Roman" w:eastAsia="Times New Roman" w:hAnsi="Times New Roman"/>
          <w:sz w:val="24"/>
          <w:szCs w:val="24"/>
        </w:rPr>
        <w:t xml:space="preserve"> (1) Gün öncesi piyasasına katılan piyasa katılımcıları, bir sonraki günün her saati için, saatlik aktif elektrik enerjisi alış-satışına ilişkin saatlik alış-satış tekliflerini, Piyasa Yönetim Sistemi (PYS) aracılığıyla Piyasa İşletmecisine bildirirler.</w:t>
      </w:r>
    </w:p>
    <w:p w14:paraId="381B9BE6"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(2) Gün öncesi piyasasına sunulan her bir saatlik alış-satış teklifi; alış ve satış yönünde ayrı ayrı olmak üzere en fazla 32 fiyat-miktar ikili</w:t>
      </w:r>
      <w:r>
        <w:rPr>
          <w:rFonts w:ascii="Times New Roman" w:eastAsia="Times New Roman" w:hAnsi="Times New Roman"/>
          <w:sz w:val="24"/>
          <w:szCs w:val="24"/>
        </w:rPr>
        <w:t>s</w:t>
      </w:r>
      <w:r w:rsidRPr="00F664F9">
        <w:rPr>
          <w:rFonts w:ascii="Times New Roman" w:eastAsia="Times New Roman" w:hAnsi="Times New Roman"/>
          <w:sz w:val="24"/>
          <w:szCs w:val="24"/>
        </w:rPr>
        <w:t xml:space="preserve">inden meydana gelir. </w:t>
      </w:r>
    </w:p>
    <w:p w14:paraId="16389B60"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 xml:space="preserve">(3) Bir saatlik teklifte; alış yönündeki her bir fiyat-miktar ikilisi, piyasa katılımcısının ilgili miktardaki elektrik enerjisini satın almak için teklif ettiği fiyatı, satış yönündeki her bir fiyat-miktar ikilisi ise piyasa katılımcısının ilgili miktardaki elektrik enerjisini satmak için teklif ettiği fiyatı belirtir. </w:t>
      </w:r>
    </w:p>
    <w:p w14:paraId="14AD7D08"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(4) Bir saatlik teklif, asgari fiyat limitinden azami fiyat limitine kadar sıralandığında alış miktarları artmayacak ve satış miktarları azalmayacak şekilde verilir.</w:t>
      </w:r>
    </w:p>
    <w:p w14:paraId="5EA25680"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 xml:space="preserve">(5) Gün öncesi piyasasına katılan bir piyasa katılımcısının her bir fiyat seviyesi için geçerli tek bir saatlik alış ya da satış </w:t>
      </w:r>
      <w:r>
        <w:rPr>
          <w:rFonts w:ascii="Times New Roman" w:eastAsia="Times New Roman" w:hAnsi="Times New Roman"/>
          <w:sz w:val="24"/>
          <w:szCs w:val="24"/>
        </w:rPr>
        <w:t>miktarı</w:t>
      </w:r>
      <w:r w:rsidRPr="00F664F9">
        <w:rPr>
          <w:rFonts w:ascii="Times New Roman" w:eastAsia="Times New Roman" w:hAnsi="Times New Roman"/>
          <w:sz w:val="24"/>
          <w:szCs w:val="24"/>
        </w:rPr>
        <w:t xml:space="preserve"> bulunabilir. Gün öncesi piyasasına katılan bir piyasa katılımcısının aynı fiyat seviyesi için geçerli hem saatlik alış </w:t>
      </w:r>
      <w:r>
        <w:rPr>
          <w:rFonts w:ascii="Times New Roman" w:eastAsia="Times New Roman" w:hAnsi="Times New Roman"/>
          <w:sz w:val="24"/>
          <w:szCs w:val="24"/>
        </w:rPr>
        <w:t>miktarı</w:t>
      </w:r>
      <w:r w:rsidRPr="00F664F9">
        <w:rPr>
          <w:rFonts w:ascii="Times New Roman" w:eastAsia="Times New Roman" w:hAnsi="Times New Roman"/>
          <w:sz w:val="24"/>
          <w:szCs w:val="24"/>
        </w:rPr>
        <w:t xml:space="preserve"> hem de saatlik satış </w:t>
      </w:r>
      <w:r>
        <w:rPr>
          <w:rFonts w:ascii="Times New Roman" w:eastAsia="Times New Roman" w:hAnsi="Times New Roman"/>
          <w:sz w:val="24"/>
          <w:szCs w:val="24"/>
        </w:rPr>
        <w:t xml:space="preserve">miktarı </w:t>
      </w:r>
      <w:r w:rsidRPr="00F664F9">
        <w:rPr>
          <w:rFonts w:ascii="Times New Roman" w:eastAsia="Times New Roman" w:hAnsi="Times New Roman"/>
          <w:sz w:val="24"/>
          <w:szCs w:val="24"/>
        </w:rPr>
        <w:t>bulunamaz.</w:t>
      </w:r>
    </w:p>
    <w:p w14:paraId="14DD47FE"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(6) Gün öncesi piyasasına saatlik teklif sunmak üzere kullanılacak olan asgari ve azami fiyat limitleri, Kurul tarafından onaylanarak yürürlüğe giren “Gün Öncesi Piyasasında ve Dengeleme Güç Piyasasında Asgari ve Azami Fiyat Limitlerinin Belirlenmesine İlişkin Usul ve Esaslar” uyarınca Piyasa İşletmecisi tarafından belirlenerek PYS aracılığıyla piyasa katılımcılarına duyurulur. Gün öncesi piyasasına sunulan tüm saatlik alış-satış tekliflerine ilişkin fiyatlar, fiyat limitlerini içerecek şekilde sunulur.</w:t>
      </w:r>
    </w:p>
    <w:p w14:paraId="081F8670" w14:textId="77777777" w:rsidR="001E6F73" w:rsidRPr="004814A7" w:rsidRDefault="001E6F73" w:rsidP="001E6F73">
      <w:pPr>
        <w:tabs>
          <w:tab w:val="left" w:pos="566"/>
        </w:tabs>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(7)</w:t>
      </w:r>
      <w:r w:rsidR="004814A7">
        <w:rPr>
          <w:rStyle w:val="FootnoteReference"/>
          <w:rFonts w:ascii="Times New Roman" w:eastAsia="Times New Roman" w:hAnsi="Times New Roman"/>
          <w:sz w:val="24"/>
          <w:szCs w:val="24"/>
        </w:rPr>
        <w:footnoteReference w:id="4"/>
      </w:r>
      <w:r w:rsidRPr="00F664F9">
        <w:rPr>
          <w:rFonts w:ascii="Times New Roman" w:eastAsia="Times New Roman" w:hAnsi="Times New Roman"/>
          <w:sz w:val="24"/>
          <w:szCs w:val="24"/>
        </w:rPr>
        <w:t xml:space="preserve"> </w:t>
      </w:r>
      <w:r w:rsidR="004814A7" w:rsidRPr="004814A7">
        <w:t xml:space="preserve"> </w:t>
      </w:r>
      <w:r w:rsidR="004814A7" w:rsidRPr="00110FDC">
        <w:rPr>
          <w:rFonts w:ascii="Times New Roman" w:hAnsi="Times New Roman"/>
          <w:sz w:val="24"/>
          <w:szCs w:val="24"/>
        </w:rPr>
        <w:t>Saatlik teklif veren bir katılımcının, ardışık iki fiyat-miktar ikilisi arasında tanımlanan doğru üzerindeki tüm fiyat-miktarları da teklif etmiş olduğu kabul edilir.</w:t>
      </w:r>
    </w:p>
    <w:p w14:paraId="3C751BC7" w14:textId="77777777" w:rsidR="001E6F73" w:rsidRPr="00F664F9" w:rsidRDefault="001E6F73" w:rsidP="001E6F73">
      <w:pPr>
        <w:tabs>
          <w:tab w:val="left" w:pos="566"/>
        </w:tabs>
        <w:spacing w:after="0" w:line="240" w:lineRule="auto"/>
        <w:ind w:firstLine="567"/>
        <w:jc w:val="both"/>
        <w:rPr>
          <w:rFonts w:ascii="Times New Roman" w:eastAsia="Times New Roman" w:hAnsi="Times New Roman"/>
          <w:sz w:val="24"/>
          <w:szCs w:val="24"/>
        </w:rPr>
      </w:pPr>
    </w:p>
    <w:p w14:paraId="73B777C2"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 xml:space="preserve">Blok tekliflerin yapısı ve içeriği   </w:t>
      </w:r>
    </w:p>
    <w:p w14:paraId="607A3ED7"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6</w:t>
      </w:r>
      <w:r w:rsidR="00AC771D">
        <w:rPr>
          <w:rStyle w:val="FootnoteReference"/>
          <w:rFonts w:ascii="Times New Roman" w:eastAsia="Times New Roman" w:hAnsi="Times New Roman"/>
          <w:b/>
          <w:sz w:val="24"/>
          <w:szCs w:val="24"/>
        </w:rPr>
        <w:footnoteReference w:id="5"/>
      </w:r>
      <w:r w:rsidRPr="00F664F9">
        <w:rPr>
          <w:rFonts w:ascii="Times New Roman" w:eastAsia="Times New Roman" w:hAnsi="Times New Roman"/>
          <w:b/>
          <w:sz w:val="24"/>
          <w:szCs w:val="24"/>
        </w:rPr>
        <w:t xml:space="preserve"> –</w:t>
      </w:r>
      <w:r w:rsidRPr="00F664F9">
        <w:rPr>
          <w:rFonts w:ascii="Times New Roman" w:eastAsia="Times New Roman" w:hAnsi="Times New Roman"/>
          <w:sz w:val="24"/>
          <w:szCs w:val="24"/>
        </w:rPr>
        <w:t xml:space="preserve"> </w:t>
      </w:r>
    </w:p>
    <w:p w14:paraId="4CC9B790" w14:textId="77777777" w:rsidR="00850F05" w:rsidRPr="00110FDC" w:rsidRDefault="004814A7" w:rsidP="00110FDC">
      <w:pPr>
        <w:spacing w:after="0" w:line="240" w:lineRule="auto"/>
        <w:ind w:firstLine="567"/>
        <w:jc w:val="both"/>
        <w:rPr>
          <w:rFonts w:ascii="Times New Roman" w:hAnsi="Times New Roman"/>
          <w:sz w:val="24"/>
          <w:szCs w:val="24"/>
        </w:rPr>
      </w:pPr>
      <w:r w:rsidRPr="00F664F9" w:rsidDel="004814A7">
        <w:rPr>
          <w:rFonts w:ascii="Times New Roman" w:eastAsia="Times New Roman" w:hAnsi="Times New Roman"/>
          <w:sz w:val="24"/>
          <w:szCs w:val="24"/>
        </w:rPr>
        <w:t xml:space="preserve"> </w:t>
      </w:r>
      <w:r w:rsidR="00850F05" w:rsidRPr="00110FDC">
        <w:rPr>
          <w:rFonts w:ascii="Times New Roman" w:hAnsi="Times New Roman"/>
          <w:sz w:val="24"/>
          <w:szCs w:val="24"/>
        </w:rPr>
        <w:t>(1) Gün öncesi piyasasına katılan piyasa katılımcıları, belirledikleri teklif zaman aralığı için geçerli aktif elektrik enerjisi alış ya da satışına ilişkin blok alış-satış tekliflerini, PYS aracılığıyla Piyasa İşletmecisine bildirirler.</w:t>
      </w:r>
    </w:p>
    <w:p w14:paraId="7193FA02" w14:textId="77777777" w:rsidR="00850F05" w:rsidRPr="00110FDC" w:rsidRDefault="00850F05" w:rsidP="00110FDC">
      <w:pPr>
        <w:spacing w:after="0" w:line="240" w:lineRule="auto"/>
        <w:ind w:firstLine="567"/>
        <w:jc w:val="both"/>
        <w:rPr>
          <w:rFonts w:ascii="Times New Roman" w:hAnsi="Times New Roman"/>
          <w:sz w:val="24"/>
          <w:szCs w:val="24"/>
        </w:rPr>
      </w:pPr>
      <w:r w:rsidRPr="00110FDC">
        <w:rPr>
          <w:rFonts w:ascii="Times New Roman" w:hAnsi="Times New Roman"/>
          <w:sz w:val="24"/>
          <w:szCs w:val="24"/>
        </w:rPr>
        <w:t>(2) Blok alış teklifi, gün öncesi piyasasına katılan piyasa katılımcısının, belirli bir teklif zaman aralığı için lot cinsinden uzlaştırma dönemi bazlı değişebilen alış miktarlarını ve bu miktarlar için ödemeyi teklif ettiği maksimum birim fiyatı (TL/MWh) içerir.</w:t>
      </w:r>
    </w:p>
    <w:p w14:paraId="54EB11BE" w14:textId="77777777" w:rsidR="00850F05" w:rsidRPr="00110FDC" w:rsidRDefault="00850F05" w:rsidP="00AC771D">
      <w:pPr>
        <w:spacing w:after="0" w:line="240" w:lineRule="auto"/>
        <w:ind w:firstLine="567"/>
        <w:jc w:val="both"/>
        <w:rPr>
          <w:rFonts w:ascii="Times New Roman" w:hAnsi="Times New Roman"/>
          <w:b/>
          <w:sz w:val="24"/>
          <w:szCs w:val="24"/>
        </w:rPr>
      </w:pPr>
      <w:r w:rsidRPr="00110FDC">
        <w:rPr>
          <w:rFonts w:ascii="Times New Roman" w:hAnsi="Times New Roman"/>
          <w:sz w:val="24"/>
          <w:szCs w:val="24"/>
        </w:rPr>
        <w:lastRenderedPageBreak/>
        <w:t>(3) Blok satış teklifi, gün öncesi piyasasına katılan piyasa katılımcısının, belirli bir</w:t>
      </w:r>
      <w:r w:rsidRPr="00110FDC">
        <w:rPr>
          <w:rFonts w:ascii="Times New Roman" w:hAnsi="Times New Roman"/>
          <w:color w:val="0070C0"/>
          <w:sz w:val="24"/>
          <w:szCs w:val="24"/>
          <w:u w:val="single"/>
        </w:rPr>
        <w:t xml:space="preserve"> </w:t>
      </w:r>
      <w:r w:rsidRPr="00110FDC">
        <w:rPr>
          <w:rFonts w:ascii="Times New Roman" w:hAnsi="Times New Roman"/>
          <w:sz w:val="24"/>
          <w:szCs w:val="24"/>
        </w:rPr>
        <w:t>teklif zaman aralığı için lot cinsinden uzlaştırma dönemi bazlı değişebilen satış miktarlarını ve bu miktarlar için talep ettiği minimum birim fiyatı (TL/MWh) içerir</w:t>
      </w:r>
      <w:r w:rsidR="00AC771D" w:rsidRPr="00AC771D">
        <w:rPr>
          <w:rFonts w:ascii="Times New Roman" w:hAnsi="Times New Roman"/>
          <w:sz w:val="24"/>
          <w:szCs w:val="24"/>
        </w:rPr>
        <w:t>.</w:t>
      </w:r>
    </w:p>
    <w:p w14:paraId="591478F8" w14:textId="63E3C062" w:rsidR="001E6F73"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(4) Gün öncesi piyasasına katılan piyasa katılımcıları, bir günün aynı ya da farklı</w:t>
      </w:r>
      <w:r w:rsidR="00850F05">
        <w:rPr>
          <w:rFonts w:ascii="Times New Roman" w:eastAsia="Times New Roman" w:hAnsi="Times New Roman"/>
          <w:sz w:val="24"/>
          <w:szCs w:val="24"/>
        </w:rPr>
        <w:t xml:space="preserve"> teklif</w:t>
      </w:r>
      <w:r w:rsidRPr="00F664F9">
        <w:rPr>
          <w:rFonts w:ascii="Times New Roman" w:eastAsia="Times New Roman" w:hAnsi="Times New Roman"/>
          <w:sz w:val="24"/>
          <w:szCs w:val="24"/>
        </w:rPr>
        <w:t xml:space="preserve"> zaman </w:t>
      </w:r>
      <w:r w:rsidR="00850F05">
        <w:rPr>
          <w:rFonts w:ascii="Times New Roman" w:eastAsia="Times New Roman" w:hAnsi="Times New Roman"/>
          <w:sz w:val="24"/>
          <w:szCs w:val="24"/>
        </w:rPr>
        <w:t>aralıklarında</w:t>
      </w:r>
      <w:r w:rsidR="00B07FCC">
        <w:rPr>
          <w:rFonts w:ascii="Times New Roman" w:eastAsia="Times New Roman" w:hAnsi="Times New Roman"/>
          <w:sz w:val="24"/>
          <w:szCs w:val="24"/>
        </w:rPr>
        <w:t xml:space="preserve"> </w:t>
      </w:r>
      <w:r w:rsidRPr="00F664F9">
        <w:rPr>
          <w:rFonts w:ascii="Times New Roman" w:eastAsia="Times New Roman" w:hAnsi="Times New Roman"/>
          <w:sz w:val="24"/>
          <w:szCs w:val="24"/>
        </w:rPr>
        <w:t>birden fazla blok teklif sunabilirler. Blok teklifler ardışık tam saatlerden meydana gelir. Gün öncesi piyasasına katılan piyasa katılımcılarının</w:t>
      </w:r>
      <w:r w:rsidR="00850F05">
        <w:rPr>
          <w:rFonts w:ascii="Times New Roman" w:eastAsia="Times New Roman" w:hAnsi="Times New Roman"/>
          <w:sz w:val="24"/>
          <w:szCs w:val="24"/>
        </w:rPr>
        <w:t xml:space="preserve"> verebilecekleri blok teklifler</w:t>
      </w:r>
      <w:r w:rsidRPr="00F664F9">
        <w:rPr>
          <w:rFonts w:ascii="Times New Roman" w:eastAsia="Times New Roman" w:hAnsi="Times New Roman"/>
          <w:sz w:val="24"/>
          <w:szCs w:val="24"/>
        </w:rPr>
        <w:t xml:space="preserve">, Piyasa İşletmecisi tarafından belirlenip uygulanır. Gün öncesi piyasasına katılan piyasa katılımcılarına PYS aracılığıyla kendi blok tekliflerini tanımlama hakkı verilebilir, ancak bu şekilde tanımlanacak olan blok tekliflerin en az </w:t>
      </w:r>
      <w:r w:rsidR="00BB5810">
        <w:rPr>
          <w:rFonts w:ascii="Times New Roman" w:eastAsia="Times New Roman" w:hAnsi="Times New Roman"/>
          <w:sz w:val="24"/>
          <w:szCs w:val="24"/>
        </w:rPr>
        <w:t>üç</w:t>
      </w:r>
      <w:r w:rsidR="00BB5810" w:rsidRPr="00F664F9">
        <w:rPr>
          <w:rFonts w:ascii="Times New Roman" w:eastAsia="Times New Roman" w:hAnsi="Times New Roman"/>
          <w:sz w:val="24"/>
          <w:szCs w:val="24"/>
        </w:rPr>
        <w:t xml:space="preserve"> </w:t>
      </w:r>
      <w:r w:rsidRPr="00F664F9">
        <w:rPr>
          <w:rFonts w:ascii="Times New Roman" w:eastAsia="Times New Roman" w:hAnsi="Times New Roman"/>
          <w:sz w:val="24"/>
          <w:szCs w:val="24"/>
        </w:rPr>
        <w:t>saatlik bir zaman dilimini kapsaması esastır. Gün öncesi piyasasına katılan piyasa katılımcıları bir günde toplam en fazla 50 adet blok teklif verebilirler.</w:t>
      </w:r>
    </w:p>
    <w:p w14:paraId="01719EDC" w14:textId="77777777" w:rsidR="00234E21" w:rsidRPr="00F664F9" w:rsidRDefault="00234E21" w:rsidP="001E6F7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(5) Her bir blok teklif ya geçerli olduğu teklif zaman aralığı boyunca teklif miktarları kadar kabul edilir ya da hiç kabul edilmez.</w:t>
      </w:r>
    </w:p>
    <w:p w14:paraId="7EE80C73" w14:textId="6139555A" w:rsidR="001E6F73" w:rsidRPr="00F664F9" w:rsidRDefault="004814A7" w:rsidP="00850F05">
      <w:pPr>
        <w:spacing w:after="0" w:line="240" w:lineRule="auto"/>
        <w:ind w:firstLine="567"/>
        <w:jc w:val="both"/>
        <w:rPr>
          <w:rFonts w:ascii="Times New Roman" w:eastAsia="Times New Roman" w:hAnsi="Times New Roman"/>
          <w:sz w:val="24"/>
          <w:szCs w:val="24"/>
        </w:rPr>
      </w:pPr>
      <w:r w:rsidRPr="00F664F9" w:rsidDel="004814A7">
        <w:rPr>
          <w:rFonts w:ascii="Times New Roman" w:eastAsia="Times New Roman" w:hAnsi="Times New Roman"/>
          <w:sz w:val="24"/>
          <w:szCs w:val="24"/>
        </w:rPr>
        <w:t xml:space="preserve"> </w:t>
      </w:r>
      <w:r w:rsidR="001E6F73" w:rsidRPr="00F664F9">
        <w:rPr>
          <w:rFonts w:ascii="Times New Roman" w:eastAsia="Times New Roman" w:hAnsi="Times New Roman"/>
          <w:sz w:val="24"/>
          <w:szCs w:val="24"/>
        </w:rPr>
        <w:t xml:space="preserve">(6) </w:t>
      </w:r>
      <w:r w:rsidR="00446B03" w:rsidRPr="00446B03">
        <w:rPr>
          <w:rFonts w:ascii="Times New Roman" w:eastAsia="Times New Roman" w:hAnsi="Times New Roman"/>
          <w:sz w:val="24"/>
          <w:szCs w:val="24"/>
        </w:rPr>
        <w:t>Blok teklifler arasında en fazla altı adet blok teklif için geçerli ve üç seviye derinliğinde</w:t>
      </w:r>
      <w:r w:rsidR="00850F05">
        <w:rPr>
          <w:rFonts w:ascii="Times New Roman" w:eastAsia="Times New Roman" w:hAnsi="Times New Roman"/>
          <w:sz w:val="24"/>
          <w:szCs w:val="24"/>
        </w:rPr>
        <w:t xml:space="preserve"> olmak üzere ilişki</w:t>
      </w:r>
      <w:r w:rsidR="00446B03" w:rsidRPr="00446B03">
        <w:rPr>
          <w:rFonts w:ascii="Times New Roman" w:eastAsia="Times New Roman" w:hAnsi="Times New Roman"/>
          <w:sz w:val="24"/>
          <w:szCs w:val="24"/>
        </w:rPr>
        <w:t xml:space="preserve"> kurulabilir. Başka bir blok teklifin veya tekliflerin bağlı olduğu ancak kendisi bir blok teklife bağlı olmayan teklifler birinci seviye, birinci seviye blok teklife bağlı olan blok teklifler ikinci seviye, ikinci seviye blok teklife bağlı olan blok teklifler üçüncü seviye blok teklif olarak adlandırılır. İkinci ve üçüncü seviyede ayrı ayrı en fazla üç blok </w:t>
      </w:r>
      <w:r w:rsidR="00850F05">
        <w:rPr>
          <w:rFonts w:ascii="Times New Roman" w:eastAsia="Times New Roman" w:hAnsi="Times New Roman"/>
          <w:sz w:val="24"/>
          <w:szCs w:val="24"/>
        </w:rPr>
        <w:t xml:space="preserve">teklif </w:t>
      </w:r>
      <w:r w:rsidR="00446B03" w:rsidRPr="00446B03">
        <w:rPr>
          <w:rFonts w:ascii="Times New Roman" w:eastAsia="Times New Roman" w:hAnsi="Times New Roman"/>
          <w:sz w:val="24"/>
          <w:szCs w:val="24"/>
        </w:rPr>
        <w:t xml:space="preserve">bulunabilir. </w:t>
      </w:r>
      <w:r w:rsidR="00850F05" w:rsidRPr="00110FDC">
        <w:rPr>
          <w:rFonts w:ascii="Times New Roman" w:hAnsi="Times New Roman"/>
          <w:sz w:val="24"/>
          <w:szCs w:val="24"/>
        </w:rPr>
        <w:t xml:space="preserve">İkinci ve üçüncü seviyedeki blok teklifler bağlı olduğu üst seviyelerdeki blok tekliflerle birlikte değerlendirilerek kabul edilebilir. </w:t>
      </w:r>
      <w:r w:rsidR="00446B03" w:rsidRPr="00110FDC">
        <w:rPr>
          <w:rFonts w:ascii="Times New Roman" w:eastAsia="Times New Roman" w:hAnsi="Times New Roman"/>
          <w:sz w:val="24"/>
          <w:szCs w:val="24"/>
        </w:rPr>
        <w:t xml:space="preserve">Bu şekilde </w:t>
      </w:r>
      <w:r w:rsidR="00446B03" w:rsidRPr="00446B03">
        <w:rPr>
          <w:rFonts w:ascii="Times New Roman" w:eastAsia="Times New Roman" w:hAnsi="Times New Roman"/>
          <w:sz w:val="24"/>
          <w:szCs w:val="24"/>
        </w:rPr>
        <w:t>birbiri ile ilişkilendirilmiş olan blok tekliflerin tamamının alış ya da satış blok teklifi olması ve aynı portföy ve teklif bölgesi ile ilişkili olması esastır.</w:t>
      </w:r>
    </w:p>
    <w:p w14:paraId="27329044" w14:textId="77777777" w:rsidR="00AC771D" w:rsidRPr="00110FDC" w:rsidRDefault="00AC771D" w:rsidP="00110FDC">
      <w:pPr>
        <w:spacing w:after="0" w:line="240" w:lineRule="auto"/>
        <w:ind w:firstLine="708"/>
        <w:jc w:val="both"/>
        <w:rPr>
          <w:rFonts w:ascii="Times New Roman" w:hAnsi="Times New Roman"/>
          <w:sz w:val="24"/>
          <w:szCs w:val="24"/>
        </w:rPr>
      </w:pPr>
      <w:r w:rsidRPr="00110FDC">
        <w:rPr>
          <w:rFonts w:ascii="Times New Roman" w:hAnsi="Times New Roman"/>
          <w:sz w:val="24"/>
          <w:szCs w:val="24"/>
        </w:rPr>
        <w:t>(7) Bir blok teklifin teklif zaman aralığı içerisinde geçerli hem alış hem de satış miktarı bulunamaz.</w:t>
      </w:r>
    </w:p>
    <w:p w14:paraId="59D542B7" w14:textId="77777777" w:rsidR="00AC771D" w:rsidRPr="00110FDC" w:rsidRDefault="00AC771D" w:rsidP="00110FDC">
      <w:pPr>
        <w:spacing w:after="0" w:line="240" w:lineRule="auto"/>
        <w:ind w:firstLine="708"/>
        <w:jc w:val="both"/>
        <w:rPr>
          <w:rFonts w:ascii="Times New Roman" w:hAnsi="Times New Roman"/>
          <w:sz w:val="24"/>
          <w:szCs w:val="24"/>
        </w:rPr>
      </w:pPr>
      <w:r w:rsidRPr="00110FDC">
        <w:rPr>
          <w:rFonts w:ascii="Times New Roman" w:hAnsi="Times New Roman"/>
          <w:sz w:val="24"/>
          <w:szCs w:val="24"/>
        </w:rPr>
        <w:t>(8) Birbiri ile ilişkilendirilmiş blok teklifler döngü oluşturamaz.</w:t>
      </w:r>
    </w:p>
    <w:p w14:paraId="2B6EB9C8" w14:textId="42EC908D" w:rsidR="001E6F73" w:rsidRPr="00500F90" w:rsidRDefault="00AC771D" w:rsidP="00500F90">
      <w:pPr>
        <w:spacing w:after="0" w:line="240" w:lineRule="auto"/>
        <w:ind w:firstLine="708"/>
        <w:jc w:val="both"/>
        <w:rPr>
          <w:rFonts w:ascii="Times New Roman" w:hAnsi="Times New Roman"/>
          <w:sz w:val="24"/>
          <w:szCs w:val="24"/>
        </w:rPr>
      </w:pPr>
      <w:r w:rsidRPr="00110FDC">
        <w:rPr>
          <w:rFonts w:ascii="Times New Roman" w:hAnsi="Times New Roman"/>
          <w:sz w:val="24"/>
          <w:szCs w:val="24"/>
        </w:rPr>
        <w:t xml:space="preserve">(9) Gün öncesi piyasasına sunulan bir blok teklifin herhangi bir saatteki teklif miktarı 600 MWh’i geçemez. Blok teklifler için teklif zaman aralığı en az 3 saati kapsar. Bir blok teklifte, birbirini takip eden saatlerden sonraki saat için teklif edilen miktar önceki saat için teklif edilen miktarın üç katından büyük veya üçte birinden küçük olamaz. </w:t>
      </w:r>
    </w:p>
    <w:p w14:paraId="51D9F7D6" w14:textId="77777777" w:rsidR="00AC771D" w:rsidRDefault="00AC771D" w:rsidP="001E6F73">
      <w:pPr>
        <w:spacing w:after="0" w:line="240" w:lineRule="auto"/>
        <w:ind w:firstLine="567"/>
        <w:jc w:val="both"/>
        <w:rPr>
          <w:rFonts w:ascii="Times New Roman" w:eastAsia="Times New Roman" w:hAnsi="Times New Roman"/>
          <w:b/>
          <w:sz w:val="24"/>
          <w:szCs w:val="24"/>
        </w:rPr>
      </w:pPr>
    </w:p>
    <w:p w14:paraId="32059FD7"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Esnek tekliflerin yapısı ve içeriği</w:t>
      </w:r>
    </w:p>
    <w:p w14:paraId="1CD1BF71" w14:textId="77777777" w:rsidR="00AC771D" w:rsidRPr="00110FDC" w:rsidRDefault="001E6F73" w:rsidP="00A85B1B">
      <w:pPr>
        <w:spacing w:after="0" w:line="240" w:lineRule="auto"/>
        <w:ind w:firstLine="567"/>
        <w:jc w:val="both"/>
        <w:rPr>
          <w:rFonts w:ascii="Times New Roman" w:hAnsi="Times New Roman"/>
          <w:color w:val="0070C0"/>
          <w:sz w:val="24"/>
          <w:szCs w:val="24"/>
          <w:u w:val="single"/>
        </w:rPr>
      </w:pPr>
      <w:r w:rsidRPr="00F664F9">
        <w:rPr>
          <w:rFonts w:ascii="Times New Roman" w:eastAsia="Times New Roman" w:hAnsi="Times New Roman"/>
          <w:b/>
          <w:sz w:val="24"/>
          <w:szCs w:val="24"/>
        </w:rPr>
        <w:t>MADDE 7</w:t>
      </w:r>
      <w:r w:rsidR="00AC771D">
        <w:rPr>
          <w:rStyle w:val="FootnoteReference"/>
          <w:rFonts w:ascii="Times New Roman" w:eastAsia="Times New Roman" w:hAnsi="Times New Roman"/>
          <w:b/>
          <w:sz w:val="24"/>
          <w:szCs w:val="24"/>
        </w:rPr>
        <w:footnoteReference w:id="6"/>
      </w:r>
      <w:r w:rsidRPr="00F664F9">
        <w:rPr>
          <w:rFonts w:ascii="Times New Roman" w:eastAsia="Times New Roman" w:hAnsi="Times New Roman"/>
          <w:b/>
          <w:sz w:val="24"/>
          <w:szCs w:val="24"/>
        </w:rPr>
        <w:t xml:space="preserve"> –</w:t>
      </w:r>
      <w:r w:rsidRPr="00F664F9">
        <w:rPr>
          <w:rFonts w:ascii="Times New Roman" w:eastAsia="Times New Roman" w:hAnsi="Times New Roman"/>
          <w:sz w:val="24"/>
          <w:szCs w:val="24"/>
        </w:rPr>
        <w:t xml:space="preserve"> </w:t>
      </w:r>
      <w:r w:rsidR="00AC771D" w:rsidRPr="00110FDC">
        <w:rPr>
          <w:rFonts w:ascii="Times New Roman" w:hAnsi="Times New Roman"/>
          <w:sz w:val="24"/>
          <w:szCs w:val="24"/>
        </w:rPr>
        <w:t>(1) Gün öncesi piyasasına katılan piyasa katılımcıları, belirledikleri teklif zaman aralığı için geçerli aktif elektrik enerjisi alış ya da satışına ilişkin esnek alış-satış tekliflerini PYS aracılığıyla Piyasa İşletmecisine bildirirler.</w:t>
      </w:r>
    </w:p>
    <w:p w14:paraId="35AA1EB4" w14:textId="77777777" w:rsidR="00AC771D" w:rsidRPr="00110FDC" w:rsidRDefault="00AC771D" w:rsidP="00A85B1B">
      <w:pPr>
        <w:spacing w:after="0" w:line="240" w:lineRule="auto"/>
        <w:ind w:firstLine="567"/>
        <w:jc w:val="both"/>
        <w:rPr>
          <w:rFonts w:ascii="Times New Roman" w:hAnsi="Times New Roman"/>
          <w:sz w:val="24"/>
          <w:szCs w:val="24"/>
        </w:rPr>
      </w:pPr>
      <w:r w:rsidRPr="00110FDC">
        <w:rPr>
          <w:rFonts w:ascii="Times New Roman" w:hAnsi="Times New Roman"/>
          <w:sz w:val="24"/>
          <w:szCs w:val="24"/>
        </w:rPr>
        <w:t>(2) Esnek alış teklifi, gün öncesi piyasasına katılan piyasa katılımcısının, belirli bir</w:t>
      </w:r>
      <w:r w:rsidRPr="00110FDC">
        <w:rPr>
          <w:rFonts w:ascii="Times New Roman" w:hAnsi="Times New Roman"/>
          <w:color w:val="0070C0"/>
          <w:sz w:val="24"/>
          <w:szCs w:val="24"/>
        </w:rPr>
        <w:t xml:space="preserve"> </w:t>
      </w:r>
      <w:r w:rsidRPr="00110FDC">
        <w:rPr>
          <w:rFonts w:ascii="Times New Roman" w:hAnsi="Times New Roman"/>
          <w:sz w:val="24"/>
          <w:szCs w:val="24"/>
        </w:rPr>
        <w:t>teklif zaman aralığında belirtilen teklif süresi için, lot cinsinden uzlaştırma dönemi bazlı değişebilen alış miktarlarını ve bu miktarlar için ödemeyi teklif ettiği maksimum birim fiyatı (TL/MWh) içerir.</w:t>
      </w:r>
    </w:p>
    <w:p w14:paraId="5A68B243" w14:textId="77777777" w:rsidR="00AC771D" w:rsidRPr="00110FDC" w:rsidRDefault="00AC771D" w:rsidP="00A85B1B">
      <w:pPr>
        <w:spacing w:after="0" w:line="240" w:lineRule="auto"/>
        <w:ind w:firstLine="567"/>
        <w:jc w:val="both"/>
        <w:rPr>
          <w:rFonts w:ascii="Times New Roman" w:hAnsi="Times New Roman"/>
          <w:sz w:val="24"/>
          <w:szCs w:val="24"/>
        </w:rPr>
      </w:pPr>
      <w:r w:rsidRPr="00110FDC">
        <w:rPr>
          <w:rFonts w:ascii="Times New Roman" w:hAnsi="Times New Roman"/>
          <w:sz w:val="24"/>
          <w:szCs w:val="24"/>
        </w:rPr>
        <w:t>(3) Esnek satış teklifi, gün öncesi piyasasına katılan piyasa katılımcısının, belirli bir</w:t>
      </w:r>
      <w:r w:rsidRPr="00110FDC">
        <w:rPr>
          <w:rFonts w:ascii="Times New Roman" w:hAnsi="Times New Roman"/>
          <w:color w:val="0070C0"/>
          <w:sz w:val="24"/>
          <w:szCs w:val="24"/>
          <w:u w:val="single"/>
        </w:rPr>
        <w:t xml:space="preserve"> </w:t>
      </w:r>
      <w:r w:rsidRPr="00110FDC">
        <w:rPr>
          <w:rFonts w:ascii="Times New Roman" w:hAnsi="Times New Roman"/>
          <w:sz w:val="24"/>
          <w:szCs w:val="24"/>
        </w:rPr>
        <w:t>teklif zaman aralığında belirtilen teklif süresi için, lot cinsinden uzlaştırma dönemi bazlı değişebilen satış miktarlarını ve bu miktarlar için talep ettiği minimum birim fiyatı (TL/MWh) içerir</w:t>
      </w:r>
      <w:r w:rsidRPr="00AC771D">
        <w:rPr>
          <w:rFonts w:ascii="Times New Roman" w:hAnsi="Times New Roman"/>
          <w:sz w:val="24"/>
          <w:szCs w:val="24"/>
        </w:rPr>
        <w:t>.</w:t>
      </w:r>
    </w:p>
    <w:p w14:paraId="7D8B8A21" w14:textId="6F8C56B4" w:rsidR="00AC771D" w:rsidRPr="00110FDC" w:rsidRDefault="00AC771D" w:rsidP="00A85B1B">
      <w:pPr>
        <w:tabs>
          <w:tab w:val="left" w:pos="-5103"/>
        </w:tabs>
        <w:spacing w:after="0" w:line="240" w:lineRule="auto"/>
        <w:ind w:firstLine="567"/>
        <w:jc w:val="both"/>
        <w:rPr>
          <w:rFonts w:ascii="Times New Roman" w:hAnsi="Times New Roman"/>
          <w:color w:val="0070C0"/>
          <w:sz w:val="24"/>
          <w:szCs w:val="24"/>
        </w:rPr>
      </w:pPr>
      <w:r w:rsidRPr="00110FDC">
        <w:rPr>
          <w:rFonts w:ascii="Times New Roman" w:hAnsi="Times New Roman"/>
          <w:sz w:val="24"/>
          <w:szCs w:val="24"/>
        </w:rPr>
        <w:t>(4) Gün öncesi piyasasına katılan piyasa katılımcıları, bir günün aynı veya farklı teklif zaman aralıklarında, en fazla 6 adet esnek teklif sunabilirler. Gün öncesi piyasasına sunulan bir esnek teklifin herhangi bir saatteki teklif miktarı 100 MWh’i geçemez. Esnek teklifler için teklif zaman aralığı en az 8, en fazla 24 saati kapsar. Esnek teklifler için teklif süresi en fazla 4 saati kapsayabilir.</w:t>
      </w:r>
    </w:p>
    <w:p w14:paraId="6D3F135D" w14:textId="77777777" w:rsidR="00AC771D" w:rsidRPr="00110FDC" w:rsidRDefault="00AC771D" w:rsidP="00A85B1B">
      <w:pPr>
        <w:spacing w:after="0" w:line="240" w:lineRule="auto"/>
        <w:ind w:firstLine="567"/>
        <w:jc w:val="both"/>
        <w:rPr>
          <w:rFonts w:ascii="Times New Roman" w:hAnsi="Times New Roman"/>
          <w:sz w:val="24"/>
          <w:szCs w:val="24"/>
        </w:rPr>
      </w:pPr>
      <w:r w:rsidRPr="00110FDC">
        <w:rPr>
          <w:rFonts w:ascii="Times New Roman" w:hAnsi="Times New Roman"/>
          <w:sz w:val="24"/>
          <w:szCs w:val="24"/>
        </w:rPr>
        <w:t>(5) Her bir esnek teklif için teklif zaman aralığı içerisindeki uzlaştırma dönemi sayısı teklif süresinden fazla olacak şekilde belirlenir.</w:t>
      </w:r>
    </w:p>
    <w:p w14:paraId="27D6CEE6" w14:textId="77777777" w:rsidR="00AC771D" w:rsidRPr="00110FDC" w:rsidRDefault="00AC771D" w:rsidP="00A85B1B">
      <w:pPr>
        <w:spacing w:after="0" w:line="240" w:lineRule="auto"/>
        <w:ind w:firstLine="567"/>
        <w:jc w:val="both"/>
        <w:rPr>
          <w:rFonts w:ascii="Times New Roman" w:hAnsi="Times New Roman"/>
          <w:sz w:val="24"/>
          <w:szCs w:val="24"/>
        </w:rPr>
      </w:pPr>
      <w:r w:rsidRPr="00110FDC">
        <w:rPr>
          <w:rFonts w:ascii="Times New Roman" w:hAnsi="Times New Roman"/>
          <w:sz w:val="24"/>
          <w:szCs w:val="24"/>
        </w:rPr>
        <w:lastRenderedPageBreak/>
        <w:t>(6) Her bir esnek teklif için; ya teklifin geçerli olduğu teklif zaman aralığı içerisinde teklif süresi boyunca teklif miktarlarının tamamı kabul edilir ya da hiç kabul edilmez. Esnek teklifler belirlenen teklif süresinden daha kısa bir süre için kabul edilemez.</w:t>
      </w:r>
    </w:p>
    <w:p w14:paraId="76CC079F" w14:textId="77777777" w:rsidR="001E6F73" w:rsidRPr="00F664F9" w:rsidRDefault="00AC771D" w:rsidP="00A85B1B">
      <w:pPr>
        <w:spacing w:after="0" w:line="240" w:lineRule="auto"/>
        <w:ind w:firstLine="567"/>
        <w:jc w:val="both"/>
        <w:rPr>
          <w:rFonts w:ascii="Times New Roman" w:eastAsia="Times New Roman" w:hAnsi="Times New Roman"/>
          <w:sz w:val="24"/>
          <w:szCs w:val="24"/>
        </w:rPr>
      </w:pPr>
      <w:r w:rsidRPr="00110FDC">
        <w:rPr>
          <w:rFonts w:ascii="Times New Roman" w:hAnsi="Times New Roman"/>
          <w:sz w:val="24"/>
          <w:szCs w:val="24"/>
        </w:rPr>
        <w:t>(7) Bir esnek teklifin teklif süresi içerisinde geçerli hem alış hem de satış miktarı bulunamaz.</w:t>
      </w:r>
    </w:p>
    <w:p w14:paraId="0C4D5633" w14:textId="77777777" w:rsidR="001E6F73" w:rsidRPr="00F664F9" w:rsidRDefault="001E6F73" w:rsidP="001E6F73">
      <w:pPr>
        <w:spacing w:after="0" w:line="240" w:lineRule="auto"/>
        <w:rPr>
          <w:rFonts w:ascii="Times New Roman" w:eastAsia="Times New Roman" w:hAnsi="Times New Roman"/>
          <w:b/>
          <w:sz w:val="24"/>
          <w:szCs w:val="24"/>
        </w:rPr>
      </w:pPr>
    </w:p>
    <w:p w14:paraId="0DF0AAB0"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Gün öncesi piyasasında eşleştirme ve KPTF’nin belirlenmesi</w:t>
      </w:r>
    </w:p>
    <w:p w14:paraId="3A223A7C" w14:textId="75E71EA4" w:rsidR="001E6F73" w:rsidRPr="00F664F9" w:rsidRDefault="001E6F73" w:rsidP="00500F90">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8</w:t>
      </w:r>
      <w:r w:rsidR="008A6180">
        <w:rPr>
          <w:rStyle w:val="FootnoteReference"/>
          <w:rFonts w:ascii="Times New Roman" w:eastAsia="Times New Roman" w:hAnsi="Times New Roman"/>
          <w:b/>
          <w:sz w:val="24"/>
          <w:szCs w:val="24"/>
        </w:rPr>
        <w:footnoteReference w:id="7"/>
      </w:r>
      <w:r w:rsidRPr="00F664F9">
        <w:rPr>
          <w:rFonts w:ascii="Times New Roman" w:eastAsia="Times New Roman" w:hAnsi="Times New Roman"/>
          <w:b/>
          <w:sz w:val="24"/>
          <w:szCs w:val="24"/>
        </w:rPr>
        <w:t xml:space="preserve"> –</w:t>
      </w:r>
      <w:r w:rsidRPr="00F664F9">
        <w:rPr>
          <w:rFonts w:ascii="Times New Roman" w:eastAsia="Times New Roman" w:hAnsi="Times New Roman"/>
          <w:sz w:val="24"/>
          <w:szCs w:val="24"/>
        </w:rPr>
        <w:t xml:space="preserve"> (1) </w:t>
      </w:r>
      <w:r w:rsidR="00AC771D" w:rsidRPr="00110FDC">
        <w:rPr>
          <w:rFonts w:ascii="Times New Roman" w:hAnsi="Times New Roman"/>
          <w:sz w:val="24"/>
          <w:szCs w:val="24"/>
        </w:rPr>
        <w:t>Tüm teklif bölgeleri için, saatlik, blok ve esnek teklifler optimizasyon yazılımı vasıtasıyla değerlendirilerek en yüksek günlük toplam fazlayı elde edecek şekilde KPTF’ler ve eşleşme miktarları belirlenir.</w:t>
      </w:r>
      <w:r w:rsidRPr="00F664F9">
        <w:rPr>
          <w:rFonts w:ascii="Times New Roman" w:eastAsia="Times New Roman" w:hAnsi="Times New Roman"/>
          <w:sz w:val="24"/>
          <w:szCs w:val="24"/>
        </w:rPr>
        <w:tab/>
      </w:r>
    </w:p>
    <w:p w14:paraId="4E2A6995" w14:textId="77777777" w:rsidR="00AC771D" w:rsidRPr="00110FDC" w:rsidRDefault="00AC771D" w:rsidP="00110FDC">
      <w:pPr>
        <w:spacing w:after="0" w:line="240" w:lineRule="auto"/>
        <w:ind w:firstLine="567"/>
        <w:jc w:val="both"/>
        <w:rPr>
          <w:rFonts w:ascii="Times New Roman" w:hAnsi="Times New Roman"/>
          <w:sz w:val="24"/>
          <w:szCs w:val="24"/>
        </w:rPr>
      </w:pPr>
      <w:r w:rsidRPr="00110FDC">
        <w:rPr>
          <w:rFonts w:ascii="Times New Roman" w:hAnsi="Times New Roman"/>
          <w:sz w:val="24"/>
          <w:szCs w:val="24"/>
        </w:rPr>
        <w:t xml:space="preserve">(2) PYS’ye sunulan </w:t>
      </w:r>
    </w:p>
    <w:p w14:paraId="4C215E5B" w14:textId="77777777" w:rsidR="00AC771D" w:rsidRPr="00110FDC" w:rsidRDefault="00AC771D" w:rsidP="00110FDC">
      <w:pPr>
        <w:spacing w:after="0" w:line="240" w:lineRule="auto"/>
        <w:ind w:firstLine="567"/>
        <w:jc w:val="both"/>
        <w:rPr>
          <w:rFonts w:ascii="Times New Roman" w:hAnsi="Times New Roman"/>
          <w:sz w:val="24"/>
          <w:szCs w:val="24"/>
        </w:rPr>
      </w:pPr>
      <w:r w:rsidRPr="00110FDC">
        <w:rPr>
          <w:rFonts w:ascii="Times New Roman" w:hAnsi="Times New Roman"/>
          <w:sz w:val="24"/>
          <w:szCs w:val="24"/>
        </w:rPr>
        <w:t xml:space="preserve"> a) herhangi bir teklifle ilişkilendirilmeyen blok tekliflerden teklif zaman aralığı, fiyatı ve uzlaştırma dönemi bazında miktarları eşit olanlardan PYS’ye kaydı önce tamamlanan,</w:t>
      </w:r>
    </w:p>
    <w:p w14:paraId="6F16A8F9" w14:textId="3E8F5F1B" w:rsidR="00AC771D" w:rsidRPr="00110FDC" w:rsidRDefault="00AC771D" w:rsidP="00500F90">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110FDC">
        <w:rPr>
          <w:rFonts w:ascii="Times New Roman" w:hAnsi="Times New Roman"/>
          <w:sz w:val="24"/>
          <w:szCs w:val="24"/>
        </w:rPr>
        <w:t>b) esnek tekliflerden geçerli olduğu teklif zaman aralığı, teklif süresi, fiyatı ve uzlaştırma dönemi bazında miktarları eşit olanlardan PYS’ye kaydı önce tamamlanan</w:t>
      </w:r>
    </w:p>
    <w:p w14:paraId="535D3943" w14:textId="77777777" w:rsidR="00AC771D" w:rsidRPr="00110FDC" w:rsidRDefault="00AC771D" w:rsidP="00110FDC">
      <w:pPr>
        <w:tabs>
          <w:tab w:val="left" w:pos="566"/>
        </w:tabs>
        <w:spacing w:after="0" w:line="240" w:lineRule="auto"/>
        <w:jc w:val="both"/>
        <w:rPr>
          <w:rFonts w:ascii="Times New Roman" w:hAnsi="Times New Roman"/>
          <w:sz w:val="24"/>
          <w:szCs w:val="24"/>
        </w:rPr>
      </w:pPr>
      <w:r w:rsidRPr="00110FDC">
        <w:rPr>
          <w:rFonts w:ascii="Times New Roman" w:hAnsi="Times New Roman"/>
          <w:sz w:val="24"/>
          <w:szCs w:val="24"/>
        </w:rPr>
        <w:t>teklif kabul edilmeden diğerleri kabul edilmez.</w:t>
      </w:r>
    </w:p>
    <w:p w14:paraId="3A6AB341" w14:textId="77777777" w:rsidR="00AC771D" w:rsidRPr="00110FDC" w:rsidRDefault="00AC771D" w:rsidP="00110FDC">
      <w:pPr>
        <w:pStyle w:val="CommentText"/>
        <w:ind w:firstLine="567"/>
        <w:rPr>
          <w:rFonts w:ascii="Times New Roman" w:hAnsi="Times New Roman"/>
          <w:sz w:val="24"/>
          <w:szCs w:val="24"/>
        </w:rPr>
      </w:pPr>
      <w:r w:rsidRPr="00110FDC">
        <w:rPr>
          <w:rFonts w:ascii="Times New Roman" w:hAnsi="Times New Roman"/>
          <w:sz w:val="24"/>
          <w:szCs w:val="24"/>
        </w:rPr>
        <w:t>(3) Herhangi bir teklifle ilişkilendirilen blok tekliflerde kabul önceliği aranmaz.</w:t>
      </w:r>
    </w:p>
    <w:p w14:paraId="7DA7B9F0" w14:textId="77777777" w:rsidR="00796130" w:rsidRPr="00F664F9" w:rsidRDefault="00796130" w:rsidP="001E6F73">
      <w:pPr>
        <w:spacing w:after="0" w:line="240" w:lineRule="auto"/>
        <w:ind w:firstLine="567"/>
        <w:jc w:val="both"/>
        <w:rPr>
          <w:rFonts w:ascii="Times New Roman" w:eastAsia="Times New Roman" w:hAnsi="Times New Roman"/>
          <w:sz w:val="24"/>
          <w:szCs w:val="24"/>
        </w:rPr>
      </w:pPr>
    </w:p>
    <w:p w14:paraId="26953010" w14:textId="77777777" w:rsidR="001E6F73" w:rsidRPr="00F664F9" w:rsidRDefault="001E6F73" w:rsidP="001E6F73">
      <w:pPr>
        <w:spacing w:after="0" w:line="240" w:lineRule="auto"/>
        <w:rPr>
          <w:rFonts w:ascii="Times New Roman" w:eastAsia="Times New Roman" w:hAnsi="Times New Roman"/>
          <w:b/>
          <w:sz w:val="24"/>
          <w:szCs w:val="24"/>
        </w:rPr>
      </w:pPr>
      <w:r w:rsidRPr="00F664F9">
        <w:rPr>
          <w:rFonts w:ascii="Times New Roman" w:eastAsia="Times New Roman" w:hAnsi="Times New Roman"/>
          <w:b/>
          <w:sz w:val="24"/>
          <w:szCs w:val="24"/>
        </w:rPr>
        <w:tab/>
        <w:t>Optimizasyon modelinin amaç fonksiyonu</w:t>
      </w:r>
    </w:p>
    <w:p w14:paraId="4461A3AA" w14:textId="77777777" w:rsidR="001E6F73" w:rsidRPr="00F664F9" w:rsidRDefault="001E6F73" w:rsidP="001E6F73">
      <w:pPr>
        <w:spacing w:after="0" w:line="240" w:lineRule="auto"/>
        <w:jc w:val="both"/>
        <w:rPr>
          <w:rFonts w:ascii="Times New Roman" w:eastAsia="Times New Roman" w:hAnsi="Times New Roman"/>
          <w:sz w:val="24"/>
          <w:szCs w:val="24"/>
        </w:rPr>
      </w:pPr>
      <w:r w:rsidRPr="00F664F9">
        <w:rPr>
          <w:rFonts w:ascii="Times New Roman" w:eastAsia="Times New Roman" w:hAnsi="Times New Roman"/>
          <w:b/>
          <w:sz w:val="24"/>
          <w:szCs w:val="24"/>
        </w:rPr>
        <w:tab/>
        <w:t xml:space="preserve">MADDE 9 – </w:t>
      </w:r>
      <w:r w:rsidRPr="00F664F9">
        <w:rPr>
          <w:rFonts w:ascii="Times New Roman" w:eastAsia="Times New Roman" w:hAnsi="Times New Roman"/>
          <w:sz w:val="24"/>
          <w:szCs w:val="24"/>
        </w:rPr>
        <w:t xml:space="preserve">(1) Optimizasyon modeli en yüksek </w:t>
      </w:r>
      <w:r>
        <w:rPr>
          <w:rFonts w:ascii="Times New Roman" w:eastAsia="Times New Roman" w:hAnsi="Times New Roman"/>
          <w:sz w:val="24"/>
          <w:szCs w:val="24"/>
        </w:rPr>
        <w:t xml:space="preserve">günlük </w:t>
      </w:r>
      <w:r w:rsidRPr="00F664F9">
        <w:rPr>
          <w:rFonts w:ascii="Times New Roman" w:eastAsia="Times New Roman" w:hAnsi="Times New Roman"/>
          <w:sz w:val="24"/>
          <w:szCs w:val="24"/>
        </w:rPr>
        <w:t>toplam fazlayı sağlayacak şekilde fiyatları ve işlem miktarlarını belirler.</w:t>
      </w:r>
    </w:p>
    <w:p w14:paraId="70D08007" w14:textId="77777777" w:rsidR="001E6F73" w:rsidRPr="00F664F9" w:rsidRDefault="001E6F73" w:rsidP="001E6F73">
      <w:pPr>
        <w:spacing w:after="0" w:line="240" w:lineRule="auto"/>
        <w:jc w:val="both"/>
        <w:rPr>
          <w:rFonts w:ascii="Times New Roman" w:eastAsia="Times New Roman" w:hAnsi="Times New Roman"/>
          <w:sz w:val="24"/>
          <w:szCs w:val="24"/>
        </w:rPr>
      </w:pPr>
      <w:r w:rsidRPr="00F664F9">
        <w:rPr>
          <w:rFonts w:ascii="Times New Roman" w:eastAsia="Times New Roman" w:hAnsi="Times New Roman"/>
          <w:sz w:val="24"/>
          <w:szCs w:val="24"/>
        </w:rPr>
        <w:tab/>
        <w:t>(2) Belirlenen fiyatlar kuruş hassasiyetine ve işlem miktarları da lot hassasiyetine gelecek şekilde yuvarlama yapılır.</w:t>
      </w:r>
    </w:p>
    <w:p w14:paraId="09CC937E" w14:textId="77777777" w:rsidR="001E6F73" w:rsidRDefault="001E6F73" w:rsidP="001E6F73">
      <w:pPr>
        <w:spacing w:after="0" w:line="240" w:lineRule="auto"/>
        <w:rPr>
          <w:rFonts w:ascii="Times New Roman" w:eastAsia="Times New Roman" w:hAnsi="Times New Roman"/>
          <w:sz w:val="24"/>
          <w:szCs w:val="24"/>
        </w:rPr>
      </w:pPr>
    </w:p>
    <w:p w14:paraId="0843017F" w14:textId="77777777" w:rsidR="008A6180" w:rsidRPr="00110FDC" w:rsidRDefault="008A6180" w:rsidP="00110FDC">
      <w:pPr>
        <w:spacing w:after="0" w:line="240" w:lineRule="auto"/>
        <w:ind w:firstLine="708"/>
        <w:rPr>
          <w:rFonts w:ascii="Times New Roman" w:hAnsi="Times New Roman"/>
          <w:b/>
          <w:sz w:val="24"/>
          <w:szCs w:val="24"/>
        </w:rPr>
      </w:pPr>
      <w:r w:rsidRPr="00110FDC">
        <w:rPr>
          <w:rFonts w:ascii="Times New Roman" w:hAnsi="Times New Roman"/>
          <w:b/>
          <w:sz w:val="24"/>
          <w:szCs w:val="24"/>
        </w:rPr>
        <w:t>Saatlik tekliflerin değerlendirilmesi</w:t>
      </w:r>
    </w:p>
    <w:p w14:paraId="0D9D2BDF" w14:textId="77777777" w:rsidR="008A6180" w:rsidRPr="00110FDC" w:rsidRDefault="008A6180" w:rsidP="00110FDC">
      <w:pPr>
        <w:spacing w:after="0" w:line="240" w:lineRule="auto"/>
        <w:ind w:firstLine="708"/>
        <w:jc w:val="both"/>
        <w:rPr>
          <w:rFonts w:ascii="Times New Roman" w:hAnsi="Times New Roman"/>
          <w:b/>
          <w:sz w:val="24"/>
          <w:szCs w:val="24"/>
        </w:rPr>
      </w:pPr>
      <w:r w:rsidRPr="00110FDC">
        <w:rPr>
          <w:rFonts w:ascii="Times New Roman" w:hAnsi="Times New Roman"/>
          <w:b/>
          <w:sz w:val="24"/>
          <w:szCs w:val="24"/>
        </w:rPr>
        <w:t>MADDE 9/A</w:t>
      </w:r>
      <w:r>
        <w:rPr>
          <w:rStyle w:val="FootnoteReference"/>
          <w:rFonts w:ascii="Times New Roman" w:hAnsi="Times New Roman"/>
          <w:b/>
          <w:sz w:val="24"/>
          <w:szCs w:val="24"/>
        </w:rPr>
        <w:footnoteReference w:id="8"/>
      </w:r>
      <w:r w:rsidRPr="00110FDC">
        <w:rPr>
          <w:rFonts w:ascii="Times New Roman" w:hAnsi="Times New Roman"/>
          <w:b/>
          <w:sz w:val="24"/>
          <w:szCs w:val="24"/>
        </w:rPr>
        <w:t xml:space="preserve"> - </w:t>
      </w:r>
      <w:r w:rsidRPr="00110FDC">
        <w:rPr>
          <w:rFonts w:ascii="Times New Roman" w:hAnsi="Times New Roman"/>
          <w:sz w:val="24"/>
          <w:szCs w:val="24"/>
        </w:rPr>
        <w:t>(1) Bir saatlik teklife ait fiyat-miktar ikililerinden oluşan doğru kullanılarak teklifin geçerli olduğu uzlaştırma dönemindeki KPTF’ye karşılık gelen miktarı eşleşir.</w:t>
      </w:r>
    </w:p>
    <w:p w14:paraId="61A8CF78" w14:textId="77777777" w:rsidR="008A6180" w:rsidRPr="00F664F9" w:rsidRDefault="008A6180" w:rsidP="001E6F73">
      <w:pPr>
        <w:spacing w:after="0" w:line="240" w:lineRule="auto"/>
        <w:rPr>
          <w:rFonts w:ascii="Times New Roman" w:eastAsia="Times New Roman" w:hAnsi="Times New Roman"/>
          <w:sz w:val="24"/>
          <w:szCs w:val="24"/>
        </w:rPr>
      </w:pPr>
    </w:p>
    <w:p w14:paraId="242C170C"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 xml:space="preserve">Blok tekliflerin değerlendirilmesi </w:t>
      </w:r>
    </w:p>
    <w:p w14:paraId="4A7CE2C7"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10 –</w:t>
      </w:r>
      <w:r w:rsidRPr="00F664F9">
        <w:rPr>
          <w:rFonts w:ascii="Times New Roman" w:eastAsia="Times New Roman" w:hAnsi="Times New Roman"/>
          <w:sz w:val="24"/>
          <w:szCs w:val="24"/>
        </w:rPr>
        <w:t xml:space="preserve"> (1)</w:t>
      </w:r>
      <w:r w:rsidR="008A6180">
        <w:rPr>
          <w:rStyle w:val="FootnoteReference"/>
          <w:rFonts w:ascii="Times New Roman" w:eastAsia="Times New Roman" w:hAnsi="Times New Roman"/>
          <w:sz w:val="24"/>
          <w:szCs w:val="24"/>
        </w:rPr>
        <w:footnoteReference w:id="9"/>
      </w:r>
      <w:r w:rsidRPr="00F664F9">
        <w:rPr>
          <w:rFonts w:ascii="Times New Roman" w:eastAsia="Times New Roman" w:hAnsi="Times New Roman"/>
          <w:sz w:val="24"/>
          <w:szCs w:val="24"/>
        </w:rPr>
        <w:t xml:space="preserve"> </w:t>
      </w:r>
    </w:p>
    <w:p w14:paraId="3414C7B5" w14:textId="77777777" w:rsidR="008A6180" w:rsidRPr="00110FDC" w:rsidRDefault="008A6180" w:rsidP="00110FDC">
      <w:pPr>
        <w:spacing w:after="0" w:line="240" w:lineRule="auto"/>
        <w:ind w:firstLine="567"/>
        <w:jc w:val="both"/>
        <w:rPr>
          <w:rFonts w:ascii="Times New Roman" w:hAnsi="Times New Roman"/>
          <w:sz w:val="24"/>
          <w:szCs w:val="24"/>
        </w:rPr>
      </w:pPr>
      <w:r w:rsidRPr="00110FDC">
        <w:rPr>
          <w:rFonts w:ascii="Times New Roman" w:hAnsi="Times New Roman"/>
          <w:sz w:val="24"/>
          <w:szCs w:val="24"/>
        </w:rPr>
        <w:t>(2)</w:t>
      </w:r>
      <w:r>
        <w:rPr>
          <w:rStyle w:val="FootnoteReference"/>
          <w:rFonts w:ascii="Times New Roman" w:hAnsi="Times New Roman"/>
          <w:sz w:val="24"/>
          <w:szCs w:val="24"/>
        </w:rPr>
        <w:footnoteReference w:id="10"/>
      </w:r>
      <w:r w:rsidRPr="00110FDC">
        <w:rPr>
          <w:rFonts w:ascii="Times New Roman" w:hAnsi="Times New Roman"/>
          <w:sz w:val="24"/>
          <w:szCs w:val="24"/>
        </w:rPr>
        <w:t xml:space="preserve"> Optimizasyon yazılımı;</w:t>
      </w:r>
    </w:p>
    <w:p w14:paraId="1C3E354F" w14:textId="77777777" w:rsidR="008A6180" w:rsidRPr="00110FDC" w:rsidRDefault="008A6180" w:rsidP="00110FDC">
      <w:pPr>
        <w:spacing w:after="0" w:line="240" w:lineRule="auto"/>
        <w:ind w:firstLine="567"/>
        <w:jc w:val="both"/>
        <w:rPr>
          <w:rFonts w:ascii="Times New Roman" w:hAnsi="Times New Roman"/>
          <w:strike/>
          <w:sz w:val="24"/>
          <w:szCs w:val="24"/>
        </w:rPr>
      </w:pPr>
      <w:r w:rsidRPr="00110FDC">
        <w:rPr>
          <w:rFonts w:ascii="Times New Roman" w:hAnsi="Times New Roman"/>
          <w:sz w:val="24"/>
          <w:szCs w:val="24"/>
        </w:rPr>
        <w:t>a) blok satış tekliflerinin, blok satış teklif fiyatının blok teklif kabul şartı fiyatına eşit ya da blok teklif kabul şartı fiyatından düşük olduğu durumlarda kabul edildiği, yüksek olduğu durumlarda kabul edilebileceği,</w:t>
      </w:r>
      <w:r w:rsidRPr="00110FDC">
        <w:rPr>
          <w:rFonts w:ascii="Times New Roman" w:hAnsi="Times New Roman"/>
          <w:strike/>
          <w:sz w:val="24"/>
          <w:szCs w:val="24"/>
        </w:rPr>
        <w:t xml:space="preserve"> </w:t>
      </w:r>
    </w:p>
    <w:p w14:paraId="40A83E86" w14:textId="1D406D72" w:rsidR="008A6180" w:rsidRPr="00110FDC" w:rsidRDefault="008A6180" w:rsidP="00500F90">
      <w:pPr>
        <w:spacing w:after="0" w:line="240" w:lineRule="auto"/>
        <w:ind w:firstLine="567"/>
        <w:jc w:val="both"/>
        <w:rPr>
          <w:rFonts w:ascii="Times New Roman" w:hAnsi="Times New Roman"/>
          <w:sz w:val="24"/>
          <w:szCs w:val="24"/>
        </w:rPr>
      </w:pPr>
      <w:r w:rsidRPr="00110FDC">
        <w:rPr>
          <w:rFonts w:ascii="Times New Roman" w:hAnsi="Times New Roman"/>
          <w:sz w:val="24"/>
          <w:szCs w:val="24"/>
        </w:rPr>
        <w:t>b) blok alış tekliflerinin, blok alış teklif fiyatının blok teklif kabul şartı fiyatına eşit ya da blok teklif kabul şartı fiyatından yüksek olduğu durumlarda kabul edildiği, düşük olduğu durumlarda kabul edilebileceği</w:t>
      </w:r>
    </w:p>
    <w:p w14:paraId="11736935" w14:textId="77777777" w:rsidR="008A6180" w:rsidRPr="00110FDC" w:rsidRDefault="008A6180" w:rsidP="00110FDC">
      <w:pPr>
        <w:spacing w:after="0" w:line="240" w:lineRule="auto"/>
        <w:jc w:val="both"/>
        <w:rPr>
          <w:rFonts w:ascii="Times New Roman" w:hAnsi="Times New Roman"/>
          <w:sz w:val="24"/>
          <w:szCs w:val="24"/>
        </w:rPr>
      </w:pPr>
      <w:r w:rsidRPr="00110FDC">
        <w:rPr>
          <w:rFonts w:ascii="Times New Roman" w:hAnsi="Times New Roman"/>
          <w:sz w:val="24"/>
          <w:szCs w:val="24"/>
        </w:rPr>
        <w:t>şekilde hesaplama yapar.</w:t>
      </w:r>
    </w:p>
    <w:p w14:paraId="1397D785" w14:textId="4BB371B3" w:rsidR="0013791D" w:rsidRPr="00FA7519" w:rsidRDefault="008A6180" w:rsidP="00500F90">
      <w:pPr>
        <w:spacing w:after="0" w:line="240" w:lineRule="auto"/>
        <w:ind w:firstLine="567"/>
        <w:contextualSpacing/>
        <w:jc w:val="both"/>
        <w:rPr>
          <w:rFonts w:ascii="Times New Roman" w:eastAsia="Times New Roman" w:hAnsi="Times New Roman"/>
          <w:sz w:val="24"/>
          <w:szCs w:val="24"/>
          <w:lang w:eastAsia="tr-TR"/>
        </w:rPr>
      </w:pPr>
      <w:r w:rsidRPr="00110FDC">
        <w:rPr>
          <w:rFonts w:ascii="Times New Roman" w:hAnsi="Times New Roman"/>
          <w:sz w:val="24"/>
          <w:szCs w:val="24"/>
        </w:rPr>
        <w:t>(3)</w:t>
      </w:r>
      <w:r>
        <w:rPr>
          <w:rStyle w:val="FootnoteReference"/>
          <w:rFonts w:ascii="Times New Roman" w:hAnsi="Times New Roman"/>
          <w:sz w:val="24"/>
          <w:szCs w:val="24"/>
        </w:rPr>
        <w:footnoteReference w:id="11"/>
      </w:r>
      <w:r w:rsidR="0013791D" w:rsidRPr="0013791D">
        <w:rPr>
          <w:rFonts w:ascii="Times New Roman" w:hAnsi="Times New Roman"/>
          <w:sz w:val="24"/>
          <w:szCs w:val="24"/>
          <w:vertAlign w:val="superscript"/>
        </w:rPr>
        <w:t xml:space="preserve">, </w:t>
      </w:r>
      <w:r w:rsidR="0013791D">
        <w:rPr>
          <w:rStyle w:val="FootnoteReference"/>
          <w:rFonts w:ascii="Times New Roman" w:hAnsi="Times New Roman"/>
          <w:sz w:val="24"/>
          <w:szCs w:val="24"/>
        </w:rPr>
        <w:footnoteReference w:id="12"/>
      </w:r>
      <w:r w:rsidRPr="00110FDC">
        <w:rPr>
          <w:rFonts w:ascii="Times New Roman" w:hAnsi="Times New Roman"/>
          <w:sz w:val="24"/>
          <w:szCs w:val="24"/>
        </w:rPr>
        <w:t xml:space="preserve"> </w:t>
      </w:r>
      <w:r w:rsidR="0013791D" w:rsidRPr="00FA7519">
        <w:rPr>
          <w:rFonts w:ascii="Times New Roman" w:eastAsia="Times New Roman" w:hAnsi="Times New Roman"/>
          <w:sz w:val="24"/>
          <w:szCs w:val="24"/>
          <w:lang w:eastAsia="tr-TR"/>
        </w:rPr>
        <w:t xml:space="preserve">Herhangi bir saatte arz talep miktar eşitliğinin sağlanamadığı durumda söz konusu eşitsizliğin; </w:t>
      </w:r>
    </w:p>
    <w:p w14:paraId="4333C4CF" w14:textId="77777777" w:rsidR="00A85B1B" w:rsidRDefault="0013791D" w:rsidP="00A85B1B">
      <w:pPr>
        <w:numPr>
          <w:ilvl w:val="0"/>
          <w:numId w:val="1"/>
        </w:numPr>
        <w:spacing w:after="0" w:line="240" w:lineRule="auto"/>
        <w:ind w:hanging="501"/>
        <w:contextualSpacing/>
        <w:jc w:val="both"/>
        <w:rPr>
          <w:rFonts w:ascii="Times New Roman" w:eastAsia="Times New Roman" w:hAnsi="Times New Roman"/>
          <w:sz w:val="24"/>
          <w:szCs w:val="24"/>
          <w:lang w:eastAsia="tr-TR"/>
        </w:rPr>
      </w:pPr>
      <w:r w:rsidRPr="00FA7519">
        <w:rPr>
          <w:rFonts w:ascii="Times New Roman" w:eastAsia="Times New Roman" w:hAnsi="Times New Roman"/>
          <w:sz w:val="24"/>
          <w:szCs w:val="24"/>
          <w:lang w:eastAsia="tr-TR"/>
        </w:rPr>
        <w:t xml:space="preserve">Arzın talebi karşılamaması sebebiyle gerçekleşmesi durumunda blok alış tekliflerinde, </w:t>
      </w:r>
    </w:p>
    <w:p w14:paraId="34121B95" w14:textId="77777777" w:rsidR="0013791D" w:rsidRPr="00A85B1B" w:rsidRDefault="0013791D" w:rsidP="00A85B1B">
      <w:pPr>
        <w:numPr>
          <w:ilvl w:val="0"/>
          <w:numId w:val="1"/>
        </w:numPr>
        <w:spacing w:after="0" w:line="240" w:lineRule="auto"/>
        <w:ind w:hanging="501"/>
        <w:contextualSpacing/>
        <w:jc w:val="both"/>
        <w:rPr>
          <w:rFonts w:ascii="Times New Roman" w:eastAsia="Times New Roman" w:hAnsi="Times New Roman"/>
          <w:sz w:val="24"/>
          <w:szCs w:val="24"/>
          <w:lang w:eastAsia="tr-TR"/>
        </w:rPr>
      </w:pPr>
      <w:r w:rsidRPr="00A85B1B">
        <w:rPr>
          <w:rFonts w:ascii="Times New Roman" w:eastAsia="Times New Roman" w:hAnsi="Times New Roman"/>
          <w:sz w:val="24"/>
          <w:szCs w:val="24"/>
          <w:lang w:eastAsia="tr-TR"/>
        </w:rPr>
        <w:lastRenderedPageBreak/>
        <w:t>Talebin arzı karşılamaması sebebiyle gerçekleşmesi durumunda blok satış tekliflerinde</w:t>
      </w:r>
    </w:p>
    <w:p w14:paraId="35B8E990" w14:textId="77777777" w:rsidR="008A6180" w:rsidRPr="00110FDC" w:rsidRDefault="0013791D" w:rsidP="0013791D">
      <w:pPr>
        <w:tabs>
          <w:tab w:val="left" w:pos="566"/>
        </w:tabs>
        <w:spacing w:after="0" w:line="240" w:lineRule="auto"/>
        <w:ind w:firstLine="567"/>
        <w:jc w:val="both"/>
        <w:rPr>
          <w:rFonts w:ascii="Times New Roman" w:hAnsi="Times New Roman"/>
          <w:sz w:val="24"/>
          <w:szCs w:val="24"/>
        </w:rPr>
      </w:pPr>
      <w:r w:rsidRPr="00FA7519">
        <w:rPr>
          <w:rFonts w:ascii="Times New Roman" w:eastAsia="Times New Roman" w:hAnsi="Times New Roman"/>
          <w:sz w:val="24"/>
          <w:szCs w:val="24"/>
          <w:lang w:eastAsia="tr-TR"/>
        </w:rPr>
        <w:t>bu maddenin ikinci fıkrası dikkate alınmaz.</w:t>
      </w:r>
    </w:p>
    <w:p w14:paraId="11E50944" w14:textId="77777777" w:rsidR="008A6180" w:rsidRPr="008A6180" w:rsidRDefault="008A6180" w:rsidP="008A6180">
      <w:pPr>
        <w:tabs>
          <w:tab w:val="left" w:pos="566"/>
        </w:tabs>
        <w:spacing w:after="0" w:line="240" w:lineRule="auto"/>
        <w:ind w:firstLine="567"/>
        <w:jc w:val="both"/>
        <w:rPr>
          <w:rFonts w:ascii="Times New Roman" w:eastAsia="Times New Roman" w:hAnsi="Times New Roman"/>
          <w:sz w:val="24"/>
          <w:szCs w:val="24"/>
        </w:rPr>
      </w:pPr>
      <w:r w:rsidRPr="00110FDC">
        <w:rPr>
          <w:rFonts w:ascii="Times New Roman" w:hAnsi="Times New Roman"/>
          <w:sz w:val="24"/>
          <w:szCs w:val="24"/>
        </w:rPr>
        <w:t>(4)</w:t>
      </w:r>
      <w:r>
        <w:rPr>
          <w:rStyle w:val="FootnoteReference"/>
          <w:rFonts w:ascii="Times New Roman" w:hAnsi="Times New Roman"/>
          <w:sz w:val="24"/>
          <w:szCs w:val="24"/>
        </w:rPr>
        <w:footnoteReference w:id="13"/>
      </w:r>
      <w:r w:rsidRPr="00110FDC">
        <w:rPr>
          <w:rFonts w:ascii="Times New Roman" w:hAnsi="Times New Roman"/>
          <w:sz w:val="24"/>
          <w:szCs w:val="24"/>
        </w:rPr>
        <w:t xml:space="preserve"> Birinci seviye blok teklif tek başına kabul edilebilirken, ikinci ve üçüncü seviyedeki blok teklifler bağlı olduğu üst seviyelerdeki blok tekliflerle birlikte değerlendirilerek kabul edilebilir. Herhangi bir seviyedeki blok teklifin kabul edilmediği durumda, bu blok teklife bağlı bir sonraki seviyedeki blok teklifler üzerinde bu maddenin ikinci fıkrası dikkate alınmaz.</w:t>
      </w:r>
    </w:p>
    <w:p w14:paraId="1AA121EA" w14:textId="3E1DBE36" w:rsidR="001C6F06" w:rsidRPr="00500F90" w:rsidRDefault="002B35EF" w:rsidP="008A6180">
      <w:pPr>
        <w:tabs>
          <w:tab w:val="left" w:pos="566"/>
        </w:tabs>
        <w:spacing w:after="0" w:line="240" w:lineRule="auto"/>
        <w:ind w:firstLine="567"/>
        <w:jc w:val="both"/>
        <w:rPr>
          <w:rFonts w:ascii="Times New Roman" w:eastAsia="Times New Roman" w:hAnsi="Times New Roman"/>
          <w:sz w:val="24"/>
          <w:szCs w:val="24"/>
        </w:rPr>
      </w:pPr>
      <w:r w:rsidRPr="00500F90">
        <w:rPr>
          <w:rFonts w:ascii="Times New Roman" w:eastAsia="Times New Roman" w:hAnsi="Times New Roman"/>
          <w:sz w:val="24"/>
          <w:szCs w:val="24"/>
        </w:rPr>
        <w:t>(5)</w:t>
      </w:r>
      <w:r w:rsidRPr="00500F90">
        <w:rPr>
          <w:rStyle w:val="FootnoteReference"/>
          <w:rFonts w:ascii="Times New Roman" w:eastAsia="Times New Roman" w:hAnsi="Times New Roman"/>
          <w:sz w:val="24"/>
          <w:szCs w:val="24"/>
        </w:rPr>
        <w:footnoteReference w:id="14"/>
      </w:r>
      <w:r w:rsidR="008A6180" w:rsidRPr="00500F90">
        <w:rPr>
          <w:rFonts w:ascii="Times New Roman" w:eastAsia="Times New Roman" w:hAnsi="Times New Roman"/>
          <w:sz w:val="24"/>
          <w:szCs w:val="24"/>
          <w:vertAlign w:val="superscript"/>
        </w:rPr>
        <w:t>,</w:t>
      </w:r>
      <w:r w:rsidR="001D33A6" w:rsidRPr="00500F90">
        <w:rPr>
          <w:rFonts w:ascii="Times New Roman" w:eastAsia="Times New Roman" w:hAnsi="Times New Roman"/>
          <w:sz w:val="24"/>
          <w:szCs w:val="24"/>
          <w:vertAlign w:val="superscript"/>
        </w:rPr>
        <w:t xml:space="preserve"> </w:t>
      </w:r>
      <w:r w:rsidR="008A6180" w:rsidRPr="00500F90">
        <w:rPr>
          <w:rStyle w:val="FootnoteReference"/>
          <w:rFonts w:ascii="Times New Roman" w:eastAsia="Times New Roman" w:hAnsi="Times New Roman"/>
          <w:sz w:val="24"/>
          <w:szCs w:val="24"/>
        </w:rPr>
        <w:footnoteReference w:id="15"/>
      </w:r>
      <w:r w:rsidRPr="00500F90">
        <w:rPr>
          <w:rFonts w:ascii="Times New Roman" w:eastAsia="Times New Roman" w:hAnsi="Times New Roman"/>
          <w:sz w:val="24"/>
          <w:szCs w:val="24"/>
        </w:rPr>
        <w:t xml:space="preserve"> </w:t>
      </w:r>
    </w:p>
    <w:p w14:paraId="329EC7EE" w14:textId="77777777" w:rsidR="008A6180" w:rsidRPr="008A6180" w:rsidRDefault="008A6180" w:rsidP="008A6180">
      <w:pPr>
        <w:tabs>
          <w:tab w:val="left" w:pos="566"/>
        </w:tabs>
        <w:spacing w:after="0" w:line="240" w:lineRule="auto"/>
        <w:ind w:firstLine="567"/>
        <w:jc w:val="both"/>
        <w:rPr>
          <w:rFonts w:ascii="Times New Roman" w:eastAsia="Times New Roman" w:hAnsi="Times New Roman"/>
          <w:sz w:val="24"/>
          <w:szCs w:val="24"/>
        </w:rPr>
      </w:pPr>
      <w:r w:rsidRPr="00500F90">
        <w:rPr>
          <w:rFonts w:ascii="Times New Roman" w:hAnsi="Times New Roman"/>
          <w:sz w:val="24"/>
          <w:szCs w:val="24"/>
        </w:rPr>
        <w:t>(</w:t>
      </w:r>
      <w:r w:rsidRPr="00110FDC">
        <w:rPr>
          <w:rFonts w:ascii="Times New Roman" w:hAnsi="Times New Roman"/>
          <w:sz w:val="24"/>
          <w:szCs w:val="24"/>
        </w:rPr>
        <w:t>6)</w:t>
      </w:r>
      <w:r>
        <w:rPr>
          <w:rStyle w:val="FootnoteReference"/>
          <w:rFonts w:ascii="Times New Roman" w:hAnsi="Times New Roman"/>
          <w:sz w:val="24"/>
          <w:szCs w:val="24"/>
        </w:rPr>
        <w:footnoteReference w:id="16"/>
      </w:r>
      <w:r w:rsidRPr="00110FDC">
        <w:rPr>
          <w:rFonts w:ascii="Times New Roman" w:hAnsi="Times New Roman"/>
          <w:sz w:val="24"/>
          <w:szCs w:val="24"/>
        </w:rPr>
        <w:t xml:space="preserve"> Blok teklif kabul şartı fiyatı, bir blok teklifin teklif zaman aralığındaki her bir saate karşılık gelen teklif miktarı ile ilgili saat için hesaplanan NPTF’nin çarpılması sonucunda elde edilen değerlerin toplamının, söz konusu blok teklifin miktarlarının toplamına bölünmesi ile hesaplanır.</w:t>
      </w:r>
    </w:p>
    <w:p w14:paraId="1068B89A" w14:textId="77777777" w:rsidR="001E6F73" w:rsidRPr="00F664F9" w:rsidRDefault="001E6F73" w:rsidP="001E6F73">
      <w:pPr>
        <w:tabs>
          <w:tab w:val="left" w:pos="566"/>
        </w:tabs>
        <w:spacing w:after="0" w:line="240" w:lineRule="auto"/>
        <w:jc w:val="both"/>
        <w:rPr>
          <w:rFonts w:ascii="Times New Roman" w:eastAsia="Times New Roman" w:hAnsi="Times New Roman"/>
          <w:sz w:val="24"/>
          <w:szCs w:val="24"/>
        </w:rPr>
      </w:pPr>
    </w:p>
    <w:p w14:paraId="1C7E95D5"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Esnek tekliflerin değerlendirilmesi</w:t>
      </w:r>
      <w:r w:rsidR="00E24C93">
        <w:rPr>
          <w:rStyle w:val="FootnoteReference"/>
          <w:rFonts w:ascii="Times New Roman" w:eastAsia="Times New Roman" w:hAnsi="Times New Roman"/>
          <w:b/>
          <w:sz w:val="24"/>
          <w:szCs w:val="24"/>
        </w:rPr>
        <w:footnoteReference w:id="17"/>
      </w:r>
    </w:p>
    <w:p w14:paraId="3F46D476" w14:textId="77777777" w:rsidR="00E24C93" w:rsidRPr="00110FDC" w:rsidRDefault="001E6F73" w:rsidP="00110FDC">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11 –</w:t>
      </w:r>
      <w:r w:rsidRPr="00F664F9">
        <w:rPr>
          <w:rFonts w:ascii="Times New Roman" w:eastAsia="Times New Roman" w:hAnsi="Times New Roman"/>
          <w:sz w:val="24"/>
          <w:szCs w:val="24"/>
        </w:rPr>
        <w:t xml:space="preserve"> (1)</w:t>
      </w:r>
      <w:r w:rsidR="00E24C93">
        <w:rPr>
          <w:rStyle w:val="FootnoteReference"/>
          <w:rFonts w:ascii="Times New Roman" w:eastAsia="Times New Roman" w:hAnsi="Times New Roman"/>
          <w:sz w:val="24"/>
          <w:szCs w:val="24"/>
        </w:rPr>
        <w:footnoteReference w:id="18"/>
      </w:r>
      <w:r w:rsidRPr="00F664F9">
        <w:rPr>
          <w:rFonts w:ascii="Times New Roman" w:eastAsia="Times New Roman" w:hAnsi="Times New Roman"/>
          <w:sz w:val="24"/>
          <w:szCs w:val="24"/>
        </w:rPr>
        <w:t xml:space="preserve"> </w:t>
      </w:r>
      <w:r w:rsidR="00E24C93" w:rsidRPr="00110FDC">
        <w:rPr>
          <w:rFonts w:ascii="Times New Roman" w:hAnsi="Times New Roman"/>
          <w:sz w:val="24"/>
          <w:szCs w:val="24"/>
        </w:rPr>
        <w:t>Optimizasyon yazılımı;</w:t>
      </w:r>
    </w:p>
    <w:p w14:paraId="1B5182AB" w14:textId="77777777" w:rsidR="00E24C93" w:rsidRPr="00110FDC" w:rsidRDefault="00E24C93" w:rsidP="00110FDC">
      <w:pPr>
        <w:spacing w:after="0" w:line="240" w:lineRule="auto"/>
        <w:ind w:firstLine="708"/>
        <w:jc w:val="both"/>
        <w:rPr>
          <w:rFonts w:ascii="Times New Roman" w:hAnsi="Times New Roman"/>
          <w:sz w:val="24"/>
          <w:szCs w:val="24"/>
        </w:rPr>
      </w:pPr>
      <w:r w:rsidRPr="00110FDC">
        <w:rPr>
          <w:rFonts w:ascii="Times New Roman" w:hAnsi="Times New Roman"/>
          <w:sz w:val="24"/>
          <w:szCs w:val="24"/>
        </w:rPr>
        <w:t>a) esnek satış tekliflerinin, esnek satış teklif fiyatının esnek teklif kabul şartı fiyatına eşit ya da esnek teklif kabul şartı fiyatından düşük olduğu durumlarda kabul edileceği, yüksek olduğu durumlarda kabul edilebileceği,</w:t>
      </w:r>
    </w:p>
    <w:p w14:paraId="48ED3AA3" w14:textId="408CC375" w:rsidR="00E24C93" w:rsidRPr="00110FDC" w:rsidRDefault="00E24C93" w:rsidP="00500F90">
      <w:pPr>
        <w:spacing w:after="0" w:line="240" w:lineRule="auto"/>
        <w:ind w:firstLine="708"/>
        <w:jc w:val="both"/>
        <w:rPr>
          <w:rFonts w:ascii="Times New Roman" w:hAnsi="Times New Roman"/>
          <w:color w:val="0070C0"/>
          <w:sz w:val="24"/>
          <w:szCs w:val="24"/>
          <w:u w:val="single"/>
        </w:rPr>
      </w:pPr>
      <w:r w:rsidRPr="00110FDC">
        <w:rPr>
          <w:rFonts w:ascii="Times New Roman" w:hAnsi="Times New Roman"/>
          <w:sz w:val="24"/>
          <w:szCs w:val="24"/>
        </w:rPr>
        <w:t xml:space="preserve">b) esnek alış tekliflerinin, esnek alış teklif fiyatının esnek teklif kabul şartı fiyatına eşit ya da esnek teklif kabul şartı fiyatından yüksek olduğu durumlarda kabul edildiği, düşük olduğu durumlarda kabul edilebileceği </w:t>
      </w:r>
    </w:p>
    <w:p w14:paraId="4FEF67F7" w14:textId="77777777" w:rsidR="00E24C93" w:rsidRPr="00110FDC" w:rsidRDefault="00E24C93" w:rsidP="00110FDC">
      <w:pPr>
        <w:spacing w:after="0" w:line="240" w:lineRule="auto"/>
        <w:jc w:val="both"/>
        <w:rPr>
          <w:rFonts w:ascii="Times New Roman" w:hAnsi="Times New Roman"/>
          <w:sz w:val="24"/>
          <w:szCs w:val="24"/>
        </w:rPr>
      </w:pPr>
      <w:r w:rsidRPr="00110FDC">
        <w:rPr>
          <w:rFonts w:ascii="Times New Roman" w:hAnsi="Times New Roman"/>
          <w:sz w:val="24"/>
          <w:szCs w:val="24"/>
        </w:rPr>
        <w:t>şekilde hesaplama yapar.</w:t>
      </w:r>
    </w:p>
    <w:p w14:paraId="2E744606"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(2)</w:t>
      </w:r>
      <w:r w:rsidR="00E24C93">
        <w:rPr>
          <w:rStyle w:val="FootnoteReference"/>
          <w:rFonts w:ascii="Times New Roman" w:eastAsia="Times New Roman" w:hAnsi="Times New Roman"/>
          <w:sz w:val="24"/>
          <w:szCs w:val="24"/>
        </w:rPr>
        <w:footnoteReference w:id="19"/>
      </w:r>
      <w:r w:rsidRPr="00F664F9">
        <w:rPr>
          <w:rFonts w:ascii="Times New Roman" w:eastAsia="Times New Roman" w:hAnsi="Times New Roman"/>
          <w:sz w:val="24"/>
          <w:szCs w:val="24"/>
        </w:rPr>
        <w:t xml:space="preserve">  </w:t>
      </w:r>
    </w:p>
    <w:p w14:paraId="3DAF1F1C"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sz w:val="24"/>
          <w:szCs w:val="24"/>
        </w:rPr>
        <w:t>(3)</w:t>
      </w:r>
      <w:r w:rsidR="00E24C93">
        <w:rPr>
          <w:rStyle w:val="FootnoteReference"/>
          <w:rFonts w:ascii="Times New Roman" w:eastAsia="Times New Roman" w:hAnsi="Times New Roman"/>
          <w:sz w:val="24"/>
          <w:szCs w:val="24"/>
        </w:rPr>
        <w:footnoteReference w:id="20"/>
      </w:r>
      <w:r w:rsidRPr="00F664F9">
        <w:rPr>
          <w:rFonts w:ascii="Times New Roman" w:eastAsia="Times New Roman" w:hAnsi="Times New Roman"/>
          <w:sz w:val="24"/>
          <w:szCs w:val="24"/>
        </w:rPr>
        <w:t xml:space="preserve"> </w:t>
      </w:r>
    </w:p>
    <w:p w14:paraId="0249413A" w14:textId="77777777" w:rsidR="00E24C93" w:rsidRPr="00110FDC" w:rsidRDefault="00E24C93" w:rsidP="00110FDC">
      <w:pPr>
        <w:tabs>
          <w:tab w:val="left" w:pos="566"/>
        </w:tabs>
        <w:spacing w:after="0" w:line="240" w:lineRule="auto"/>
        <w:jc w:val="both"/>
        <w:rPr>
          <w:rFonts w:ascii="Times New Roman" w:hAnsi="Times New Roman"/>
          <w:sz w:val="24"/>
          <w:szCs w:val="24"/>
        </w:rPr>
      </w:pPr>
      <w:r>
        <w:tab/>
      </w:r>
      <w:r w:rsidRPr="00110FDC">
        <w:rPr>
          <w:rFonts w:ascii="Times New Roman" w:hAnsi="Times New Roman"/>
          <w:sz w:val="24"/>
          <w:szCs w:val="24"/>
        </w:rPr>
        <w:t>(4)</w:t>
      </w:r>
      <w:r>
        <w:rPr>
          <w:rStyle w:val="FootnoteReference"/>
          <w:rFonts w:ascii="Times New Roman" w:hAnsi="Times New Roman"/>
          <w:sz w:val="24"/>
          <w:szCs w:val="24"/>
        </w:rPr>
        <w:footnoteReference w:id="21"/>
      </w:r>
      <w:r w:rsidRPr="00110FDC">
        <w:rPr>
          <w:rFonts w:ascii="Times New Roman" w:hAnsi="Times New Roman"/>
          <w:sz w:val="24"/>
          <w:szCs w:val="24"/>
        </w:rPr>
        <w:t xml:space="preserve"> Herhangi bir saatte arz talep miktar eşitliğinin sağlanamadığı, saatlik tekliflerdeki kesintinin de bu eşitliği sağlamakta yetersiz kaldığı durumlarda esnek teklifler üzerinde bu maddenin birinci fıkrası dikkate alınmaz.</w:t>
      </w:r>
    </w:p>
    <w:p w14:paraId="0059B15B" w14:textId="73332915" w:rsidR="00EE01B1" w:rsidRDefault="00E24C93" w:rsidP="00500F90">
      <w:pPr>
        <w:spacing w:after="0" w:line="240" w:lineRule="auto"/>
        <w:ind w:firstLine="567"/>
        <w:jc w:val="both"/>
        <w:rPr>
          <w:rFonts w:ascii="Times New Roman" w:hAnsi="Times New Roman"/>
          <w:sz w:val="24"/>
          <w:szCs w:val="24"/>
        </w:rPr>
      </w:pPr>
      <w:r w:rsidRPr="00110FDC">
        <w:rPr>
          <w:rFonts w:ascii="Times New Roman" w:hAnsi="Times New Roman"/>
          <w:sz w:val="24"/>
          <w:szCs w:val="24"/>
        </w:rPr>
        <w:t>(5)</w:t>
      </w:r>
      <w:r>
        <w:rPr>
          <w:rStyle w:val="FootnoteReference"/>
          <w:rFonts w:ascii="Times New Roman" w:hAnsi="Times New Roman"/>
          <w:sz w:val="24"/>
          <w:szCs w:val="24"/>
        </w:rPr>
        <w:footnoteReference w:id="22"/>
      </w:r>
      <w:r w:rsidRPr="00110FDC">
        <w:rPr>
          <w:rFonts w:ascii="Times New Roman" w:hAnsi="Times New Roman"/>
          <w:sz w:val="24"/>
          <w:szCs w:val="24"/>
        </w:rPr>
        <w:t xml:space="preserve"> Esnek teklif kabul şartı fiyatı hesaplanırken, teklif zaman aralığının ilk saatinden başlayarak teklif süresi kadar ardışık saatteki teklif miktarları ile ilgili saat için hesaplanan NPTF’lerin çarpılması sonucu elde edilen değerler toplamı, söz konusu esnek teklifin miktarlarının toplamına bölünür. Yapılan işlem, teklif zaman aralığı süresince olası tüm teklif başlangıç saatleri için tekrarlanarak fiyat değerleri bulunur. Esnek teklif kabul fiyatı, satış teklifleri için bu fiyatların en büyüğüne alış teklifleri için bu fiyatların en küçüğüne eşittir.</w:t>
      </w:r>
    </w:p>
    <w:p w14:paraId="0CBBF2B5" w14:textId="77777777" w:rsidR="00500F90" w:rsidRPr="00500F90" w:rsidRDefault="00500F90" w:rsidP="00500F90">
      <w:pPr>
        <w:spacing w:after="0" w:line="240" w:lineRule="auto"/>
        <w:ind w:firstLine="567"/>
        <w:jc w:val="both"/>
        <w:rPr>
          <w:rFonts w:ascii="Times New Roman" w:hAnsi="Times New Roman"/>
          <w:sz w:val="24"/>
          <w:szCs w:val="24"/>
        </w:rPr>
      </w:pPr>
    </w:p>
    <w:p w14:paraId="0BF5905B" w14:textId="77777777" w:rsidR="00EE01B1" w:rsidRPr="00110FDC" w:rsidRDefault="00EE01B1" w:rsidP="00110FDC">
      <w:pPr>
        <w:spacing w:after="0" w:line="240" w:lineRule="auto"/>
        <w:ind w:firstLine="567"/>
        <w:jc w:val="both"/>
        <w:rPr>
          <w:rFonts w:ascii="Times New Roman" w:hAnsi="Times New Roman"/>
          <w:b/>
          <w:sz w:val="24"/>
          <w:szCs w:val="24"/>
        </w:rPr>
      </w:pPr>
      <w:r w:rsidRPr="00110FDC">
        <w:rPr>
          <w:rFonts w:ascii="Times New Roman" w:hAnsi="Times New Roman"/>
          <w:b/>
          <w:sz w:val="24"/>
          <w:szCs w:val="24"/>
        </w:rPr>
        <w:t>Blok veya esnek satış teklifleri için avans ödemelerine esas birim bedellerin belirlenmesi</w:t>
      </w:r>
    </w:p>
    <w:p w14:paraId="66AFB18C" w14:textId="77777777" w:rsidR="00EE01B1" w:rsidRPr="00110FDC" w:rsidRDefault="00EE01B1" w:rsidP="00110FDC">
      <w:pPr>
        <w:ind w:firstLine="567"/>
        <w:jc w:val="both"/>
        <w:rPr>
          <w:rFonts w:ascii="Times New Roman" w:hAnsi="Times New Roman"/>
          <w:sz w:val="24"/>
          <w:szCs w:val="24"/>
        </w:rPr>
      </w:pPr>
      <w:r w:rsidRPr="00110FDC">
        <w:rPr>
          <w:rFonts w:ascii="Times New Roman" w:hAnsi="Times New Roman"/>
          <w:b/>
          <w:sz w:val="24"/>
          <w:szCs w:val="24"/>
        </w:rPr>
        <w:t>MADDE 12</w:t>
      </w:r>
      <w:r w:rsidR="00796130">
        <w:rPr>
          <w:rStyle w:val="FootnoteReference"/>
          <w:rFonts w:ascii="Times New Roman" w:hAnsi="Times New Roman"/>
          <w:b/>
          <w:sz w:val="24"/>
          <w:szCs w:val="24"/>
        </w:rPr>
        <w:footnoteReference w:id="23"/>
      </w:r>
      <w:r w:rsidRPr="00110FDC">
        <w:rPr>
          <w:rFonts w:ascii="Times New Roman" w:hAnsi="Times New Roman"/>
          <w:b/>
          <w:sz w:val="24"/>
          <w:szCs w:val="24"/>
        </w:rPr>
        <w:t xml:space="preserve"> –</w:t>
      </w:r>
      <w:r w:rsidRPr="00110FDC">
        <w:rPr>
          <w:rFonts w:ascii="Times New Roman" w:hAnsi="Times New Roman"/>
          <w:sz w:val="24"/>
          <w:szCs w:val="24"/>
        </w:rPr>
        <w:t xml:space="preserve"> (1) Bir blok veya esnek satış teklifin geçerli olduğu zaman dilimindeki ağırlıklı ortalama piyasa takas fiyatı aşağıdaki formüle göre hesaplanır:</w:t>
      </w:r>
    </w:p>
    <w:p w14:paraId="7D3B42CE" w14:textId="77777777" w:rsidR="00EE01B1" w:rsidRPr="00742FE8" w:rsidRDefault="00EE01B1" w:rsidP="00EE01B1">
      <w:pPr>
        <w:jc w:val="both"/>
        <w:rPr>
          <w:rFonts w:eastAsiaTheme="minorEastAsia"/>
        </w:rPr>
      </w:pPr>
      <m:oMathPara>
        <m:oMathParaPr>
          <m:jc m:val="center"/>
        </m:oMathParaPr>
        <m:oMath>
          <m:r>
            <w:rPr>
              <w:rFonts w:ascii="Cambria Math" w:hAnsi="Cambria Math"/>
            </w:rPr>
            <w:lastRenderedPageBreak/>
            <m:t>AOPT</m:t>
          </m:r>
          <m:sSub>
            <m:sSubPr>
              <m:ctrlPr>
                <w:rPr>
                  <w:rFonts w:ascii="Cambria Math" w:hAnsi="Cambria Math"/>
                  <w:i/>
                </w:rPr>
              </m:ctrlPr>
            </m:sSubPr>
            <m:e>
              <m:r>
                <w:rPr>
                  <w:rFonts w:ascii="Cambria Math" w:hAnsi="Cambria Math"/>
                </w:rPr>
                <m:t>F</m:t>
              </m:r>
            </m:e>
            <m:sub>
              <m:r>
                <w:rPr>
                  <w:rFonts w:ascii="Cambria Math" w:hAnsi="Cambria Math"/>
                </w:rPr>
                <m:t>p,t,r</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u=a</m:t>
                  </m:r>
                </m:sub>
                <m:sup>
                  <m:r>
                    <w:rPr>
                      <w:rFonts w:ascii="Cambria Math" w:hAnsi="Cambria Math"/>
                    </w:rPr>
                    <m:t>b</m:t>
                  </m:r>
                </m:sup>
                <m:e>
                  <m:r>
                    <w:rPr>
                      <w:rFonts w:ascii="Cambria Math" w:hAnsi="Cambria Math"/>
                    </w:rPr>
                    <m:t>(PT</m:t>
                  </m:r>
                  <m:sSub>
                    <m:sSubPr>
                      <m:ctrlPr>
                        <w:rPr>
                          <w:rFonts w:ascii="Cambria Math" w:hAnsi="Cambria Math"/>
                          <w:i/>
                        </w:rPr>
                      </m:ctrlPr>
                    </m:sSubPr>
                    <m:e>
                      <m:r>
                        <w:rPr>
                          <w:rFonts w:ascii="Cambria Math" w:hAnsi="Cambria Math"/>
                        </w:rPr>
                        <m:t>F</m:t>
                      </m:r>
                    </m:e>
                    <m:sub>
                      <m:r>
                        <w:rPr>
                          <w:rFonts w:ascii="Cambria Math" w:hAnsi="Cambria Math"/>
                        </w:rPr>
                        <m:t>t,u</m:t>
                      </m:r>
                    </m:sub>
                  </m:sSub>
                  <m:r>
                    <w:rPr>
                      <w:rFonts w:ascii="Cambria Math" w:hAnsi="Cambria Math"/>
                    </w:rPr>
                    <m:t>x GÖP</m:t>
                  </m:r>
                  <m:sSub>
                    <m:sSubPr>
                      <m:ctrlPr>
                        <w:rPr>
                          <w:rFonts w:ascii="Cambria Math" w:hAnsi="Cambria Math"/>
                          <w:i/>
                        </w:rPr>
                      </m:ctrlPr>
                    </m:sSubPr>
                    <m:e>
                      <m:r>
                        <w:rPr>
                          <w:rFonts w:ascii="Cambria Math" w:hAnsi="Cambria Math"/>
                        </w:rPr>
                        <m:t>SM</m:t>
                      </m:r>
                    </m:e>
                    <m:sub>
                      <m:r>
                        <w:rPr>
                          <w:rFonts w:ascii="Cambria Math" w:hAnsi="Cambria Math"/>
                        </w:rPr>
                        <m:t>p,t,r,u</m:t>
                      </m:r>
                    </m:sub>
                  </m:sSub>
                  <m:r>
                    <w:rPr>
                      <w:rFonts w:ascii="Cambria Math" w:hAnsi="Cambria Math"/>
                    </w:rPr>
                    <m:t xml:space="preserve">) </m:t>
                  </m:r>
                </m:e>
              </m:nary>
            </m:num>
            <m:den>
              <m:nary>
                <m:naryPr>
                  <m:chr m:val="∑"/>
                  <m:limLoc m:val="subSup"/>
                  <m:ctrlPr>
                    <w:rPr>
                      <w:rFonts w:ascii="Cambria Math" w:hAnsi="Cambria Math"/>
                      <w:i/>
                    </w:rPr>
                  </m:ctrlPr>
                </m:naryPr>
                <m:sub>
                  <m:r>
                    <w:rPr>
                      <w:rFonts w:ascii="Cambria Math" w:hAnsi="Cambria Math"/>
                    </w:rPr>
                    <m:t>u=a</m:t>
                  </m:r>
                </m:sub>
                <m:sup>
                  <m:r>
                    <w:rPr>
                      <w:rFonts w:ascii="Cambria Math" w:hAnsi="Cambria Math"/>
                    </w:rPr>
                    <m:t>b</m:t>
                  </m:r>
                </m:sup>
                <m:e>
                  <m:r>
                    <w:rPr>
                      <w:rFonts w:ascii="Cambria Math" w:hAnsi="Cambria Math"/>
                    </w:rPr>
                    <m:t>GÖPS</m:t>
                  </m:r>
                  <m:sSub>
                    <m:sSubPr>
                      <m:ctrlPr>
                        <w:rPr>
                          <w:rFonts w:ascii="Cambria Math" w:hAnsi="Cambria Math"/>
                          <w:i/>
                        </w:rPr>
                      </m:ctrlPr>
                    </m:sSubPr>
                    <m:e>
                      <m:r>
                        <w:rPr>
                          <w:rFonts w:ascii="Cambria Math" w:hAnsi="Cambria Math"/>
                        </w:rPr>
                        <m:t>M</m:t>
                      </m:r>
                    </m:e>
                    <m:sub>
                      <m:r>
                        <w:rPr>
                          <w:rFonts w:ascii="Cambria Math" w:hAnsi="Cambria Math"/>
                        </w:rPr>
                        <m:t>p,t,r,u</m:t>
                      </m:r>
                    </m:sub>
                  </m:sSub>
                  <m:r>
                    <w:rPr>
                      <w:rFonts w:ascii="Cambria Math" w:hAnsi="Cambria Math"/>
                    </w:rPr>
                    <m:t xml:space="preserve"> </m:t>
                  </m:r>
                </m:e>
              </m:nary>
            </m:den>
          </m:f>
          <m:r>
            <w:rPr>
              <w:rFonts w:ascii="Cambria Math" w:hAnsi="Cambria Math"/>
            </w:rPr>
            <m:t>,u=[a,b)</m:t>
          </m:r>
        </m:oMath>
      </m:oMathPara>
    </w:p>
    <w:p w14:paraId="657ECC86" w14:textId="77777777" w:rsidR="00EE01B1" w:rsidRDefault="00EE01B1" w:rsidP="00EE01B1">
      <w:pPr>
        <w:jc w:val="both"/>
      </w:pPr>
    </w:p>
    <w:p w14:paraId="4C791BE7" w14:textId="77777777" w:rsidR="00EE01B1" w:rsidRPr="00110FDC" w:rsidRDefault="00EE01B1" w:rsidP="00110FDC">
      <w:pPr>
        <w:spacing w:after="0" w:line="240" w:lineRule="auto"/>
        <w:ind w:firstLine="567"/>
        <w:jc w:val="both"/>
        <w:rPr>
          <w:rFonts w:ascii="Times New Roman" w:hAnsi="Times New Roman"/>
          <w:sz w:val="24"/>
          <w:szCs w:val="24"/>
        </w:rPr>
      </w:pPr>
      <w:r>
        <w:rPr>
          <w:rFonts w:ascii="Times New Roman" w:hAnsi="Times New Roman"/>
          <w:sz w:val="24"/>
          <w:szCs w:val="24"/>
        </w:rPr>
        <w:t>(</w:t>
      </w:r>
      <w:r w:rsidRPr="00110FDC">
        <w:rPr>
          <w:rFonts w:ascii="Times New Roman" w:hAnsi="Times New Roman"/>
          <w:sz w:val="24"/>
          <w:szCs w:val="24"/>
        </w:rPr>
        <w:t xml:space="preserve">2) Bu formülde geçen; </w:t>
      </w:r>
    </w:p>
    <w:p w14:paraId="5D3043FC" w14:textId="77777777" w:rsidR="00EE01B1" w:rsidRPr="00110FDC" w:rsidRDefault="00EE01B1" w:rsidP="00110FDC">
      <w:pPr>
        <w:tabs>
          <w:tab w:val="left" w:pos="567"/>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AOPTF</w:t>
      </w:r>
      <w:r w:rsidRPr="00110FDC">
        <w:rPr>
          <w:rFonts w:ascii="Times New Roman" w:hAnsi="Times New Roman"/>
          <w:color w:val="000000" w:themeColor="text1"/>
          <w:sz w:val="24"/>
          <w:szCs w:val="24"/>
          <w:vertAlign w:val="subscript"/>
        </w:rPr>
        <w:t xml:space="preserve">p,t,r </w:t>
      </w:r>
      <w:r w:rsidRPr="00110FDC">
        <w:rPr>
          <w:rFonts w:ascii="Times New Roman" w:hAnsi="Times New Roman"/>
          <w:color w:val="000000" w:themeColor="text1"/>
          <w:sz w:val="24"/>
          <w:szCs w:val="24"/>
        </w:rPr>
        <w:tab/>
        <w:t xml:space="preserve">“p” piyasa katılımcısının, “t” teklif bölgesindeki, “r” blok veya esnek teklifi için geçerli olan ağırlıklı ortalama piyasa takas fiyatını (TL/MWh), </w:t>
      </w:r>
    </w:p>
    <w:p w14:paraId="1FACF6F0"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PTF</w:t>
      </w:r>
      <w:r w:rsidRPr="00110FDC">
        <w:rPr>
          <w:rFonts w:ascii="Times New Roman" w:hAnsi="Times New Roman"/>
          <w:color w:val="000000" w:themeColor="text1"/>
          <w:sz w:val="24"/>
          <w:szCs w:val="24"/>
          <w:vertAlign w:val="subscript"/>
        </w:rPr>
        <w:t>t,u</w:t>
      </w:r>
      <w:r w:rsidRPr="00110FDC">
        <w:rPr>
          <w:rFonts w:ascii="Times New Roman" w:hAnsi="Times New Roman"/>
          <w:color w:val="000000" w:themeColor="text1"/>
          <w:sz w:val="24"/>
          <w:szCs w:val="24"/>
        </w:rPr>
        <w:t xml:space="preserve"> </w:t>
      </w:r>
      <w:r w:rsidRPr="00110FDC">
        <w:rPr>
          <w:rFonts w:ascii="Times New Roman" w:hAnsi="Times New Roman"/>
          <w:color w:val="000000" w:themeColor="text1"/>
          <w:sz w:val="24"/>
          <w:szCs w:val="24"/>
        </w:rPr>
        <w:tab/>
      </w:r>
      <w:r>
        <w:rPr>
          <w:rFonts w:ascii="Times New Roman" w:hAnsi="Times New Roman"/>
          <w:color w:val="000000" w:themeColor="text1"/>
          <w:sz w:val="24"/>
          <w:szCs w:val="24"/>
        </w:rPr>
        <w:tab/>
      </w:r>
      <w:r w:rsidRPr="00110FDC">
        <w:rPr>
          <w:rFonts w:ascii="Times New Roman" w:hAnsi="Times New Roman"/>
          <w:color w:val="000000" w:themeColor="text1"/>
          <w:sz w:val="24"/>
          <w:szCs w:val="24"/>
        </w:rPr>
        <w:t xml:space="preserve">“t” teklif bölgesi için, “u” uzlaştırma dönemindeki piyasa takas fiyatını (TL/MWh), </w:t>
      </w:r>
    </w:p>
    <w:p w14:paraId="498A073D"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GÖPSM</w:t>
      </w:r>
      <w:r w:rsidRPr="00110FDC">
        <w:rPr>
          <w:rFonts w:ascii="Times New Roman" w:hAnsi="Times New Roman"/>
          <w:color w:val="000000" w:themeColor="text1"/>
          <w:sz w:val="24"/>
          <w:szCs w:val="24"/>
          <w:vertAlign w:val="subscript"/>
        </w:rPr>
        <w:t>p,t,r,u</w:t>
      </w:r>
      <w:r w:rsidRPr="00110FDC">
        <w:rPr>
          <w:rFonts w:ascii="Times New Roman" w:hAnsi="Times New Roman"/>
          <w:color w:val="000000" w:themeColor="text1"/>
          <w:sz w:val="24"/>
          <w:szCs w:val="24"/>
        </w:rPr>
        <w:tab/>
        <w:t>“p” piyasa katılımcısının, “t” teklif bölgesindeki, “r” blok veya esnek teklifinin, “u” uzlaştırma dönemi için kabul edilen satış miktarını (MWh),</w:t>
      </w:r>
    </w:p>
    <w:p w14:paraId="4F4495E3"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sz w:val="24"/>
          <w:szCs w:val="24"/>
        </w:rPr>
      </w:pPr>
      <w:r w:rsidRPr="00EE01B1">
        <w:rPr>
          <w:rFonts w:ascii="Times New Roman" w:hAnsi="Times New Roman"/>
          <w:color w:val="000000" w:themeColor="text1"/>
          <w:sz w:val="24"/>
          <w:szCs w:val="24"/>
        </w:rPr>
        <w:t>a</w:t>
      </w:r>
      <w:r w:rsidRPr="00EE01B1">
        <w:rPr>
          <w:rFonts w:ascii="Times New Roman" w:hAnsi="Times New Roman"/>
          <w:color w:val="000000" w:themeColor="text1"/>
          <w:sz w:val="24"/>
          <w:szCs w:val="24"/>
        </w:rPr>
        <w:tab/>
      </w:r>
      <w:r w:rsidRPr="00EE01B1">
        <w:rPr>
          <w:rFonts w:ascii="Times New Roman" w:hAnsi="Times New Roman"/>
          <w:color w:val="000000" w:themeColor="text1"/>
          <w:sz w:val="24"/>
          <w:szCs w:val="24"/>
        </w:rPr>
        <w:tab/>
      </w:r>
      <w:r w:rsidRPr="00110FDC">
        <w:rPr>
          <w:rFonts w:ascii="Times New Roman" w:hAnsi="Times New Roman"/>
          <w:color w:val="000000" w:themeColor="text1"/>
          <w:sz w:val="24"/>
          <w:szCs w:val="24"/>
        </w:rPr>
        <w:t xml:space="preserve">“p” piyasa katılımcısının, “t” teklif bölgesindeki, “r” blok veya esnek </w:t>
      </w:r>
      <w:r w:rsidRPr="00110FDC">
        <w:rPr>
          <w:rFonts w:ascii="Times New Roman" w:hAnsi="Times New Roman"/>
          <w:sz w:val="24"/>
          <w:szCs w:val="24"/>
        </w:rPr>
        <w:t>teklifinin kabul edildiği başlangıç zamanını,</w:t>
      </w:r>
    </w:p>
    <w:p w14:paraId="1537006E"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sz w:val="24"/>
          <w:szCs w:val="24"/>
        </w:rPr>
      </w:pPr>
      <w:r w:rsidRPr="00110FDC">
        <w:rPr>
          <w:rFonts w:ascii="Times New Roman" w:hAnsi="Times New Roman"/>
          <w:sz w:val="24"/>
          <w:szCs w:val="24"/>
        </w:rPr>
        <w:t>b</w:t>
      </w:r>
      <w:r w:rsidRPr="00110FDC">
        <w:rPr>
          <w:rFonts w:ascii="Times New Roman" w:hAnsi="Times New Roman"/>
          <w:sz w:val="24"/>
          <w:szCs w:val="24"/>
        </w:rPr>
        <w:tab/>
      </w:r>
      <w:r w:rsidRPr="00110FDC">
        <w:rPr>
          <w:rFonts w:ascii="Times New Roman" w:hAnsi="Times New Roman"/>
          <w:sz w:val="24"/>
          <w:szCs w:val="24"/>
        </w:rPr>
        <w:tab/>
        <w:t>“p” piyasa katılımcısının, “t” teklif bölgesindeki, “r” blok veya esnek teklifinin kabul edildiği bitiş zamanını,</w:t>
      </w:r>
    </w:p>
    <w:p w14:paraId="7A184311" w14:textId="77777777" w:rsidR="00EE01B1" w:rsidRPr="00110FDC" w:rsidRDefault="00EE01B1" w:rsidP="00110FDC">
      <w:pPr>
        <w:tabs>
          <w:tab w:val="left" w:pos="540"/>
          <w:tab w:val="left" w:pos="566"/>
          <w:tab w:val="left" w:pos="158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10FDC">
        <w:rPr>
          <w:rFonts w:ascii="Times New Roman" w:hAnsi="Times New Roman"/>
          <w:sz w:val="24"/>
          <w:szCs w:val="24"/>
        </w:rPr>
        <w:t>ifade eder.</w:t>
      </w:r>
      <w:r w:rsidRPr="00110FDC">
        <w:rPr>
          <w:rFonts w:ascii="Times New Roman" w:hAnsi="Times New Roman"/>
          <w:sz w:val="24"/>
          <w:szCs w:val="24"/>
        </w:rPr>
        <w:tab/>
      </w:r>
    </w:p>
    <w:p w14:paraId="0FD1CB7B" w14:textId="77777777" w:rsidR="00EE01B1" w:rsidRDefault="00EE01B1" w:rsidP="00110FDC">
      <w:pPr>
        <w:tabs>
          <w:tab w:val="left" w:pos="540"/>
          <w:tab w:val="left" w:pos="566"/>
          <w:tab w:val="left" w:pos="1587"/>
        </w:tabs>
        <w:spacing w:after="0" w:line="240" w:lineRule="auto"/>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ab/>
        <w:t>(3) Bir blok veya esnek satış teklifin üretici fazlasının negatif olmaması için ilgili piyasa katılımcısına tahakkuk ettirilecek birim bedel aşağı</w:t>
      </w:r>
      <w:r w:rsidRPr="00EE01B1">
        <w:rPr>
          <w:rFonts w:ascii="Times New Roman" w:hAnsi="Times New Roman"/>
          <w:color w:val="000000" w:themeColor="text1"/>
          <w:sz w:val="24"/>
          <w:szCs w:val="24"/>
        </w:rPr>
        <w:t>daki formüllere göre hesaplanır:</w:t>
      </w:r>
    </w:p>
    <w:p w14:paraId="7E77DB29" w14:textId="77777777" w:rsidR="00EE01B1" w:rsidRPr="00110FDC" w:rsidRDefault="00EE01B1" w:rsidP="00110FDC">
      <w:pPr>
        <w:tabs>
          <w:tab w:val="left" w:pos="540"/>
          <w:tab w:val="left" w:pos="566"/>
          <w:tab w:val="left" w:pos="1587"/>
        </w:tabs>
        <w:spacing w:after="0" w:line="240" w:lineRule="auto"/>
        <w:jc w:val="both"/>
        <w:rPr>
          <w:rFonts w:ascii="Times New Roman" w:hAnsi="Times New Roman"/>
          <w:color w:val="000000" w:themeColor="text1"/>
          <w:sz w:val="24"/>
          <w:szCs w:val="24"/>
        </w:rPr>
      </w:pPr>
    </w:p>
    <w:p w14:paraId="571FBDE9" w14:textId="77777777" w:rsidR="00EE01B1" w:rsidRPr="00742FE8" w:rsidRDefault="00EE01B1" w:rsidP="00EE01B1">
      <w:pPr>
        <w:tabs>
          <w:tab w:val="left" w:pos="540"/>
          <w:tab w:val="left" w:pos="566"/>
          <w:tab w:val="left" w:pos="1587"/>
        </w:tabs>
        <w:jc w:val="both"/>
        <w:rPr>
          <w:color w:val="000000" w:themeColor="text1"/>
        </w:rPr>
      </w:pPr>
      <m:oMathPara>
        <m:oMath>
          <m:r>
            <w:rPr>
              <w:rFonts w:ascii="Cambria Math" w:hAnsi="Cambria Math"/>
              <w:color w:val="000000" w:themeColor="text1"/>
            </w:rPr>
            <m:t>Ü</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p,t,r</m:t>
              </m:r>
            </m:sub>
          </m:sSub>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u=a</m:t>
              </m:r>
            </m:sub>
            <m:sup>
              <m:r>
                <w:rPr>
                  <w:rFonts w:ascii="Cambria Math" w:hAnsi="Cambria Math"/>
                  <w:color w:val="000000" w:themeColor="text1"/>
                </w:rPr>
                <m:t>b</m:t>
              </m:r>
            </m:sup>
            <m:e>
              <m:d>
                <m:dPr>
                  <m:ctrlPr>
                    <w:rPr>
                      <w:rFonts w:ascii="Cambria Math" w:hAnsi="Cambria Math"/>
                      <w:i/>
                      <w:color w:val="000000" w:themeColor="text1"/>
                    </w:rPr>
                  </m:ctrlPr>
                </m:dPr>
                <m:e>
                  <m:r>
                    <w:rPr>
                      <w:rFonts w:ascii="Cambria Math" w:hAnsi="Cambria Math"/>
                      <w:color w:val="000000" w:themeColor="text1"/>
                    </w:rPr>
                    <m:t>PTF</m:t>
                  </m:r>
                  <m:sSub>
                    <m:sSubPr>
                      <m:ctrlPr>
                        <w:rPr>
                          <w:rFonts w:ascii="Cambria Math" w:hAnsi="Cambria Math"/>
                          <w:i/>
                          <w:color w:val="000000" w:themeColor="text1"/>
                        </w:rPr>
                      </m:ctrlPr>
                    </m:sSubPr>
                    <m:e>
                      <m:r>
                        <m:rPr>
                          <m:sty m:val="p"/>
                        </m:rPr>
                        <w:rPr>
                          <w:rFonts w:ascii="Cambria Math" w:hAnsi="Cambria Math"/>
                          <w:color w:val="000000" w:themeColor="text1"/>
                        </w:rPr>
                        <w:softHyphen/>
                      </m:r>
                    </m:e>
                    <m:sub>
                      <m:r>
                        <w:rPr>
                          <w:rFonts w:ascii="Cambria Math" w:hAnsi="Cambria Math"/>
                          <w:color w:val="000000" w:themeColor="text1"/>
                        </w:rPr>
                        <m:t>t,u</m:t>
                      </m:r>
                    </m:sub>
                  </m:sSub>
                  <m:r>
                    <w:rPr>
                      <w:rFonts w:ascii="Cambria Math" w:hAnsi="Cambria Math"/>
                      <w:color w:val="000000" w:themeColor="text1"/>
                    </w:rPr>
                    <m:t>-GÖPST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p,t,r</m:t>
                      </m:r>
                    </m:sub>
                  </m:sSub>
                </m:e>
              </m:d>
              <m:r>
                <w:rPr>
                  <w:rFonts w:ascii="Cambria Math" w:hAnsi="Cambria Math"/>
                  <w:color w:val="000000" w:themeColor="text1"/>
                </w:rPr>
                <m:t xml:space="preserve"> x </m:t>
              </m:r>
              <m:r>
                <w:rPr>
                  <w:rFonts w:ascii="Cambria Math" w:hAnsi="Cambria Math"/>
                </w:rPr>
                <m:t>GÖP</m:t>
              </m:r>
              <m:sSub>
                <m:sSubPr>
                  <m:ctrlPr>
                    <w:rPr>
                      <w:rFonts w:ascii="Cambria Math" w:hAnsi="Cambria Math"/>
                      <w:i/>
                    </w:rPr>
                  </m:ctrlPr>
                </m:sSubPr>
                <m:e>
                  <m:r>
                    <w:rPr>
                      <w:rFonts w:ascii="Cambria Math" w:hAnsi="Cambria Math"/>
                    </w:rPr>
                    <m:t>SM</m:t>
                  </m:r>
                </m:e>
                <m:sub>
                  <m:r>
                    <w:rPr>
                      <w:rFonts w:ascii="Cambria Math" w:hAnsi="Cambria Math"/>
                    </w:rPr>
                    <m:t>p,t,r,u</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y=1</m:t>
              </m:r>
            </m:sub>
            <m:sup>
              <m:r>
                <w:rPr>
                  <w:rFonts w:ascii="Cambria Math" w:hAnsi="Cambria Math"/>
                  <w:color w:val="000000" w:themeColor="text1"/>
                </w:rPr>
                <m:t>m</m:t>
              </m:r>
            </m:sup>
            <m:e>
              <m:func>
                <m:funcPr>
                  <m:ctrlPr>
                    <w:rPr>
                      <w:rFonts w:ascii="Cambria Math" w:hAnsi="Cambria Math"/>
                      <w:i/>
                      <w:color w:val="000000" w:themeColor="text1"/>
                    </w:rPr>
                  </m:ctrlPr>
                </m:funcPr>
                <m:fName>
                  <m:r>
                    <m:rPr>
                      <m:sty m:val="p"/>
                    </m:rPr>
                    <w:rPr>
                      <w:rFonts w:ascii="Cambria Math" w:hAnsi="Cambria Math"/>
                      <w:color w:val="000000" w:themeColor="text1"/>
                    </w:rPr>
                    <m:t>maks</m:t>
                  </m:r>
                </m:fName>
                <m:e>
                  <m:d>
                    <m:dPr>
                      <m:ctrlPr>
                        <w:rPr>
                          <w:rFonts w:ascii="Cambria Math" w:hAnsi="Cambria Math"/>
                          <w:i/>
                          <w:color w:val="000000" w:themeColor="text1"/>
                        </w:rPr>
                      </m:ctrlPr>
                    </m:dPr>
                    <m:e>
                      <m:r>
                        <w:rPr>
                          <w:rFonts w:ascii="Cambria Math" w:hAnsi="Cambria Math"/>
                          <w:color w:val="000000" w:themeColor="text1"/>
                        </w:rPr>
                        <m:t>Ü</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p,t,y</m:t>
                          </m:r>
                        </m:sub>
                      </m:sSub>
                      <m:r>
                        <w:rPr>
                          <w:rFonts w:ascii="Cambria Math" w:hAnsi="Cambria Math"/>
                          <w:color w:val="000000" w:themeColor="text1"/>
                        </w:rPr>
                        <m:t xml:space="preserve"> , 0</m:t>
                      </m:r>
                    </m:e>
                  </m:d>
                </m:e>
              </m:func>
            </m:e>
          </m:nary>
          <m:r>
            <w:rPr>
              <w:rFonts w:ascii="Cambria Math" w:hAnsi="Cambria Math"/>
              <w:color w:val="000000" w:themeColor="text1"/>
            </w:rPr>
            <m:t xml:space="preserve"> </m:t>
          </m:r>
        </m:oMath>
      </m:oMathPara>
    </w:p>
    <w:p w14:paraId="77C583F5" w14:textId="77777777" w:rsidR="00EE01B1" w:rsidRPr="00742FE8" w:rsidRDefault="00EE01B1" w:rsidP="00EE01B1">
      <w:pPr>
        <w:jc w:val="both"/>
        <w:rPr>
          <w:rFonts w:eastAsiaTheme="minorEastAsia"/>
          <w:vertAlign w:val="subscript"/>
        </w:rPr>
      </w:pPr>
      <m:oMathPara>
        <m:oMath>
          <m:r>
            <w:rPr>
              <w:rFonts w:ascii="Cambria Math" w:hAnsi="Cambria Math"/>
              <w:vertAlign w:val="subscript"/>
            </w:rPr>
            <m:t>ÜF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p,t,r</m:t>
              </m:r>
            </m:sub>
          </m:sSub>
          <m:r>
            <w:rPr>
              <w:rFonts w:ascii="Cambria Math" w:hAnsi="Cambria Math"/>
              <w:vertAlign w:val="subscript"/>
            </w:rPr>
            <m:t xml:space="preserve">=    </m:t>
          </m:r>
          <m:func>
            <m:funcPr>
              <m:ctrlPr>
                <w:rPr>
                  <w:rFonts w:ascii="Cambria Math" w:hAnsi="Cambria Math"/>
                  <w:i/>
                  <w:vertAlign w:val="subscript"/>
                </w:rPr>
              </m:ctrlPr>
            </m:funcPr>
            <m:fName>
              <m:d>
                <m:dPr>
                  <m:ctrlPr>
                    <w:rPr>
                      <w:rFonts w:ascii="Cambria Math" w:hAnsi="Cambria Math"/>
                      <w:vertAlign w:val="subscript"/>
                    </w:rPr>
                  </m:ctrlPr>
                </m:dPr>
                <m:e>
                  <m:r>
                    <m:rPr>
                      <m:sty m:val="p"/>
                    </m:rPr>
                    <w:rPr>
                      <w:rFonts w:ascii="Cambria Math" w:hAnsi="Cambria Math"/>
                      <w:vertAlign w:val="subscript"/>
                    </w:rPr>
                    <m:t>-1</m:t>
                  </m:r>
                </m:e>
              </m:d>
              <m:r>
                <m:rPr>
                  <m:sty m:val="p"/>
                </m:rPr>
                <w:rPr>
                  <w:rFonts w:ascii="Cambria Math" w:hAnsi="Cambria Math"/>
                  <w:vertAlign w:val="subscript"/>
                </w:rPr>
                <m:t>x min</m:t>
              </m:r>
            </m:fName>
            <m:e>
              <m:d>
                <m:dPr>
                  <m:ctrlPr>
                    <w:rPr>
                      <w:rFonts w:ascii="Cambria Math" w:hAnsi="Cambria Math"/>
                      <w:i/>
                      <w:vertAlign w:val="subscript"/>
                    </w:rPr>
                  </m:ctrlPr>
                </m:dPr>
                <m:e>
                  <m:r>
                    <w:rPr>
                      <w:rFonts w:ascii="Cambria Math" w:hAnsi="Cambria Math"/>
                      <w:vertAlign w:val="subscript"/>
                    </w:rPr>
                    <m:t xml:space="preserve">0, </m:t>
                  </m:r>
                  <m:f>
                    <m:fPr>
                      <m:ctrlPr>
                        <w:rPr>
                          <w:rFonts w:ascii="Cambria Math" w:hAnsi="Cambria Math"/>
                          <w:i/>
                          <w:vertAlign w:val="subscript"/>
                        </w:rPr>
                      </m:ctrlPr>
                    </m:fPr>
                    <m:num>
                      <m:r>
                        <w:rPr>
                          <w:rFonts w:ascii="Cambria Math" w:hAnsi="Cambria Math"/>
                          <w:vertAlign w:val="subscript"/>
                        </w:rPr>
                        <m:t>Ü</m:t>
                      </m:r>
                      <m:sSub>
                        <m:sSubPr>
                          <m:ctrlPr>
                            <w:rPr>
                              <w:rFonts w:ascii="Cambria Math" w:hAnsi="Cambria Math"/>
                              <w:i/>
                              <w:vertAlign w:val="subscript"/>
                            </w:rPr>
                          </m:ctrlPr>
                        </m:sSubPr>
                        <m:e>
                          <m:r>
                            <w:rPr>
                              <w:rFonts w:ascii="Cambria Math" w:hAnsi="Cambria Math"/>
                              <w:vertAlign w:val="subscript"/>
                            </w:rPr>
                            <m:t>F</m:t>
                          </m:r>
                        </m:e>
                        <m:sub>
                          <m:r>
                            <w:rPr>
                              <w:rFonts w:ascii="Cambria Math" w:hAnsi="Cambria Math"/>
                              <w:vertAlign w:val="subscript"/>
                            </w:rPr>
                            <m:t>p,t,r</m:t>
                          </m:r>
                        </m:sub>
                      </m:sSub>
                    </m:num>
                    <m:den>
                      <m:nary>
                        <m:naryPr>
                          <m:chr m:val="∑"/>
                          <m:limLoc m:val="undOvr"/>
                          <m:ctrlPr>
                            <w:rPr>
                              <w:rFonts w:ascii="Cambria Math" w:hAnsi="Cambria Math"/>
                              <w:i/>
                              <w:vertAlign w:val="subscript"/>
                            </w:rPr>
                          </m:ctrlPr>
                        </m:naryPr>
                        <m:sub>
                          <m:r>
                            <w:rPr>
                              <w:rFonts w:ascii="Cambria Math" w:hAnsi="Cambria Math"/>
                              <w:vertAlign w:val="subscript"/>
                            </w:rPr>
                            <m:t>u=a</m:t>
                          </m:r>
                        </m:sub>
                        <m:sup>
                          <m:r>
                            <w:rPr>
                              <w:rFonts w:ascii="Cambria Math" w:hAnsi="Cambria Math"/>
                              <w:vertAlign w:val="subscript"/>
                            </w:rPr>
                            <m:t>b</m:t>
                          </m:r>
                        </m:sup>
                        <m:e>
                          <m:r>
                            <w:rPr>
                              <w:rFonts w:ascii="Cambria Math" w:hAnsi="Cambria Math"/>
                            </w:rPr>
                            <m:t>GÖP</m:t>
                          </m:r>
                          <m:sSub>
                            <m:sSubPr>
                              <m:ctrlPr>
                                <w:rPr>
                                  <w:rFonts w:ascii="Cambria Math" w:hAnsi="Cambria Math"/>
                                  <w:i/>
                                </w:rPr>
                              </m:ctrlPr>
                            </m:sSubPr>
                            <m:e>
                              <m:r>
                                <w:rPr>
                                  <w:rFonts w:ascii="Cambria Math" w:hAnsi="Cambria Math"/>
                                </w:rPr>
                                <m:t>SM</m:t>
                              </m:r>
                            </m:e>
                            <m:sub>
                              <m:r>
                                <w:rPr>
                                  <w:rFonts w:ascii="Cambria Math" w:hAnsi="Cambria Math"/>
                                </w:rPr>
                                <m:t>p,t,r,u</m:t>
                              </m:r>
                            </m:sub>
                          </m:sSub>
                        </m:e>
                      </m:nary>
                    </m:den>
                  </m:f>
                </m:e>
              </m:d>
              <m:r>
                <w:rPr>
                  <w:rFonts w:ascii="Cambria Math" w:hAnsi="Cambria Math"/>
                  <w:vertAlign w:val="subscript"/>
                </w:rPr>
                <m:t xml:space="preserve"> </m:t>
              </m:r>
            </m:e>
          </m:func>
        </m:oMath>
      </m:oMathPara>
    </w:p>
    <w:p w14:paraId="6F6458EB" w14:textId="77777777" w:rsidR="00EE01B1" w:rsidRPr="00110FDC" w:rsidRDefault="00EE01B1" w:rsidP="00EE01B1">
      <w:pPr>
        <w:jc w:val="both"/>
        <w:rPr>
          <w:rFonts w:eastAsiaTheme="minorEastAsia"/>
          <w:vertAlign w:val="subscript"/>
        </w:rPr>
      </w:pPr>
      <m:oMathPara>
        <m:oMath>
          <m:r>
            <w:rPr>
              <w:rFonts w:ascii="Cambria Math" w:hAnsi="Cambria Math"/>
            </w:rPr>
            <m:t>u=[a,b)</m:t>
          </m:r>
        </m:oMath>
      </m:oMathPara>
    </w:p>
    <w:p w14:paraId="77B42694" w14:textId="77777777" w:rsidR="00EE01B1" w:rsidRPr="00110FDC" w:rsidRDefault="00EE01B1" w:rsidP="00110FDC">
      <w:pPr>
        <w:spacing w:after="0"/>
        <w:ind w:firstLine="567"/>
        <w:jc w:val="both"/>
        <w:rPr>
          <w:rFonts w:ascii="Times New Roman" w:eastAsiaTheme="minorEastAsia" w:hAnsi="Times New Roman"/>
          <w:sz w:val="24"/>
          <w:szCs w:val="24"/>
        </w:rPr>
      </w:pPr>
      <w:r w:rsidRPr="00110FDC">
        <w:rPr>
          <w:rFonts w:ascii="Times New Roman" w:eastAsiaTheme="minorEastAsia" w:hAnsi="Times New Roman"/>
          <w:sz w:val="24"/>
          <w:szCs w:val="24"/>
        </w:rPr>
        <w:t>(4) Bu formüllerde geçen;</w:t>
      </w:r>
    </w:p>
    <w:p w14:paraId="5538FBAB" w14:textId="77777777" w:rsidR="00EE01B1" w:rsidRPr="00110FDC" w:rsidRDefault="00EE01B1" w:rsidP="00110FDC">
      <w:pPr>
        <w:tabs>
          <w:tab w:val="left" w:pos="540"/>
          <w:tab w:val="left" w:pos="566"/>
          <w:tab w:val="left" w:pos="212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ÜF</w:t>
      </w:r>
      <w:r w:rsidRPr="00110FDC">
        <w:rPr>
          <w:rFonts w:ascii="Times New Roman" w:hAnsi="Times New Roman"/>
          <w:color w:val="000000" w:themeColor="text1"/>
          <w:sz w:val="24"/>
          <w:szCs w:val="24"/>
          <w:vertAlign w:val="subscript"/>
        </w:rPr>
        <w:t>p,t,r,</w:t>
      </w:r>
      <w:r w:rsidRPr="00110FDC">
        <w:rPr>
          <w:rFonts w:ascii="Times New Roman" w:hAnsi="Times New Roman"/>
          <w:color w:val="000000" w:themeColor="text1"/>
          <w:sz w:val="24"/>
          <w:szCs w:val="24"/>
        </w:rPr>
        <w:tab/>
      </w:r>
      <w:r>
        <w:rPr>
          <w:rFonts w:ascii="Times New Roman" w:hAnsi="Times New Roman"/>
          <w:color w:val="000000" w:themeColor="text1"/>
          <w:sz w:val="24"/>
          <w:szCs w:val="24"/>
        </w:rPr>
        <w:tab/>
      </w:r>
      <w:r w:rsidRPr="00110FDC">
        <w:rPr>
          <w:rFonts w:ascii="Times New Roman" w:hAnsi="Times New Roman"/>
          <w:color w:val="000000" w:themeColor="text1"/>
          <w:sz w:val="24"/>
          <w:szCs w:val="24"/>
        </w:rPr>
        <w:t>“p” piyasa katılımcısının, “t” teklif bölgesindeki, “r” blok veya esnek satış teklifinin (varsa) bu teklif ile ilişkilendirilmiş diğer blok veya esnek satış teklifleriyle birlikte elde ettiği üretici fazlasını (TL),</w:t>
      </w:r>
    </w:p>
    <w:p w14:paraId="061BAB5D"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PTF</w:t>
      </w:r>
      <w:r w:rsidRPr="00110FDC">
        <w:rPr>
          <w:rFonts w:ascii="Times New Roman" w:hAnsi="Times New Roman"/>
          <w:color w:val="000000" w:themeColor="text1"/>
          <w:sz w:val="24"/>
          <w:szCs w:val="24"/>
          <w:vertAlign w:val="subscript"/>
        </w:rPr>
        <w:t>t,u</w:t>
      </w:r>
      <w:r w:rsidRPr="00110FDC">
        <w:rPr>
          <w:rFonts w:ascii="Times New Roman" w:hAnsi="Times New Roman"/>
          <w:color w:val="000000" w:themeColor="text1"/>
          <w:sz w:val="24"/>
          <w:szCs w:val="24"/>
          <w:vertAlign w:val="subscript"/>
        </w:rPr>
        <w:tab/>
      </w:r>
      <w:r>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“t” teklif bölgesi için, ”u” uzlaştırma dönemindeki piyasa takas fiyatını (TL/MWh),</w:t>
      </w:r>
    </w:p>
    <w:p w14:paraId="6E89B2E6"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GÖPSTF</w:t>
      </w:r>
      <w:r w:rsidRPr="00110FDC">
        <w:rPr>
          <w:rFonts w:ascii="Times New Roman" w:hAnsi="Times New Roman"/>
          <w:color w:val="000000" w:themeColor="text1"/>
          <w:sz w:val="24"/>
          <w:szCs w:val="24"/>
          <w:vertAlign w:val="subscript"/>
        </w:rPr>
        <w:t>p,t,r</w:t>
      </w:r>
      <w:r w:rsidRPr="00110FDC">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 xml:space="preserve">“p” piyasa katılımcısının, “t” teklif bölgesindeki, “r” blok veya esnek satış teklifinin </w:t>
      </w:r>
      <w:r w:rsidRPr="00110FDC">
        <w:rPr>
          <w:rFonts w:ascii="Times New Roman" w:hAnsi="Times New Roman"/>
          <w:sz w:val="24"/>
          <w:szCs w:val="24"/>
        </w:rPr>
        <w:t xml:space="preserve">teklif </w:t>
      </w:r>
      <w:r w:rsidRPr="00110FDC">
        <w:rPr>
          <w:rFonts w:ascii="Times New Roman" w:hAnsi="Times New Roman"/>
          <w:color w:val="000000" w:themeColor="text1"/>
          <w:sz w:val="24"/>
          <w:szCs w:val="24"/>
        </w:rPr>
        <w:t>fiyatını (TL/MWh),</w:t>
      </w:r>
    </w:p>
    <w:p w14:paraId="33A11086"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GÖPSM</w:t>
      </w:r>
      <w:r w:rsidRPr="00110FDC">
        <w:rPr>
          <w:rFonts w:ascii="Times New Roman" w:hAnsi="Times New Roman"/>
          <w:color w:val="000000" w:themeColor="text1"/>
          <w:sz w:val="24"/>
          <w:szCs w:val="24"/>
          <w:vertAlign w:val="subscript"/>
        </w:rPr>
        <w:t>p,t,r,u</w:t>
      </w:r>
      <w:r w:rsidRPr="00110FDC">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“p” piyasa katılımcısının, “t” teklif bölgesindeki, “r” blok veya esnek satış teklifinin, “u” uzlaştırma dönemindeki kabul edilen satış miktarını (MWh),</w:t>
      </w:r>
    </w:p>
    <w:p w14:paraId="4503BEF8"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ÜF</w:t>
      </w:r>
      <w:r w:rsidRPr="00110FDC">
        <w:rPr>
          <w:rFonts w:ascii="Times New Roman" w:hAnsi="Times New Roman"/>
          <w:color w:val="000000" w:themeColor="text1"/>
          <w:sz w:val="24"/>
          <w:szCs w:val="24"/>
          <w:vertAlign w:val="subscript"/>
        </w:rPr>
        <w:t>p,t,y</w:t>
      </w:r>
      <w:r w:rsidRPr="00110FDC">
        <w:rPr>
          <w:rFonts w:ascii="Times New Roman" w:hAnsi="Times New Roman"/>
          <w:color w:val="000000" w:themeColor="text1"/>
          <w:sz w:val="24"/>
          <w:szCs w:val="24"/>
          <w:vertAlign w:val="subscript"/>
        </w:rPr>
        <w:tab/>
      </w:r>
      <w:r>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“p” piyasa katılımcısının, “t” teklif bölgesindeki, (varsa) “r” blok veya esnek satış teklifi ile ilişkilendirilmiş bir alt seviyedeki “y” esnek veya blok satış teklifinin, (varsa) bu teklif ile ilişkilendirilmiş diğer blok veya esnek satış teklifleriyle birlikte elde ettiği üretici fazlasını (TL),</w:t>
      </w:r>
    </w:p>
    <w:p w14:paraId="3BC20536"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ÜFB</w:t>
      </w:r>
      <w:r w:rsidRPr="00110FDC">
        <w:rPr>
          <w:rFonts w:ascii="Times New Roman" w:hAnsi="Times New Roman"/>
          <w:color w:val="000000" w:themeColor="text1"/>
          <w:sz w:val="24"/>
          <w:szCs w:val="24"/>
          <w:vertAlign w:val="subscript"/>
        </w:rPr>
        <w:t>p,t,r</w:t>
      </w:r>
      <w:r w:rsidRPr="00110FDC">
        <w:rPr>
          <w:rFonts w:ascii="Times New Roman" w:hAnsi="Times New Roman"/>
          <w:color w:val="000000" w:themeColor="text1"/>
          <w:sz w:val="24"/>
          <w:szCs w:val="24"/>
          <w:vertAlign w:val="subscript"/>
        </w:rPr>
        <w:tab/>
      </w:r>
      <w:r>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“p” piyasa katılımcısının, “t” teklif bölgesinde, “r” blok veya esnek satış teklifi için üretici fazlasının negatif olmaması için satış fiyatına ilave edilecek birim bedeli (TL/MWh),</w:t>
      </w:r>
    </w:p>
    <w:p w14:paraId="1D4ECFA5"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a</w:t>
      </w:r>
      <w:r w:rsidRPr="00110FDC">
        <w:rPr>
          <w:rFonts w:ascii="Times New Roman" w:hAnsi="Times New Roman"/>
          <w:color w:val="000000" w:themeColor="text1"/>
          <w:sz w:val="24"/>
          <w:szCs w:val="24"/>
        </w:rPr>
        <w:tab/>
      </w:r>
      <w:r w:rsidRPr="00110FDC">
        <w:rPr>
          <w:rFonts w:ascii="Times New Roman" w:hAnsi="Times New Roman"/>
          <w:color w:val="000000" w:themeColor="text1"/>
          <w:sz w:val="24"/>
          <w:szCs w:val="24"/>
        </w:rPr>
        <w:tab/>
        <w:t xml:space="preserve">“p” piyasa katılımcısının, “t” teklif bölgesindeki, “r” blok veya esnek satış teklifinin </w:t>
      </w:r>
      <w:r w:rsidRPr="00110FDC">
        <w:rPr>
          <w:rFonts w:ascii="Times New Roman" w:hAnsi="Times New Roman"/>
          <w:sz w:val="24"/>
          <w:szCs w:val="24"/>
        </w:rPr>
        <w:t xml:space="preserve">kabul edildiği </w:t>
      </w:r>
      <w:r w:rsidRPr="00110FDC">
        <w:rPr>
          <w:rFonts w:ascii="Times New Roman" w:hAnsi="Times New Roman"/>
          <w:color w:val="000000" w:themeColor="text1"/>
          <w:sz w:val="24"/>
          <w:szCs w:val="24"/>
        </w:rPr>
        <w:t>başlangıç zamanını,</w:t>
      </w:r>
    </w:p>
    <w:p w14:paraId="7380BD69"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lastRenderedPageBreak/>
        <w:t>b</w:t>
      </w:r>
      <w:r w:rsidRPr="00110FDC">
        <w:rPr>
          <w:rFonts w:ascii="Times New Roman" w:hAnsi="Times New Roman"/>
          <w:color w:val="000000" w:themeColor="text1"/>
          <w:sz w:val="24"/>
          <w:szCs w:val="24"/>
        </w:rPr>
        <w:tab/>
      </w:r>
      <w:r w:rsidRPr="00110FDC">
        <w:rPr>
          <w:rFonts w:ascii="Times New Roman" w:hAnsi="Times New Roman"/>
          <w:color w:val="000000" w:themeColor="text1"/>
          <w:sz w:val="24"/>
          <w:szCs w:val="24"/>
        </w:rPr>
        <w:tab/>
        <w:t xml:space="preserve">“p” piyasa katılımcısının, “t” teklif bölgesindeki, “r” blok veya esnek satış teklifinin </w:t>
      </w:r>
      <w:r w:rsidRPr="00110FDC">
        <w:rPr>
          <w:rFonts w:ascii="Times New Roman" w:hAnsi="Times New Roman"/>
          <w:sz w:val="24"/>
          <w:szCs w:val="24"/>
        </w:rPr>
        <w:t xml:space="preserve">kabul edildiği </w:t>
      </w:r>
      <w:r w:rsidRPr="00110FDC">
        <w:rPr>
          <w:rFonts w:ascii="Times New Roman" w:hAnsi="Times New Roman"/>
          <w:color w:val="000000" w:themeColor="text1"/>
          <w:sz w:val="24"/>
          <w:szCs w:val="24"/>
        </w:rPr>
        <w:t>bitiş zamanını,</w:t>
      </w:r>
    </w:p>
    <w:p w14:paraId="2CEF687F"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m</w:t>
      </w:r>
      <w:r w:rsidRPr="00110FDC">
        <w:rPr>
          <w:rFonts w:ascii="Times New Roman" w:hAnsi="Times New Roman"/>
          <w:color w:val="000000" w:themeColor="text1"/>
          <w:sz w:val="24"/>
          <w:szCs w:val="24"/>
        </w:rPr>
        <w:tab/>
      </w:r>
      <w:r w:rsidRPr="00110FDC">
        <w:rPr>
          <w:rFonts w:ascii="Times New Roman" w:hAnsi="Times New Roman"/>
          <w:color w:val="000000" w:themeColor="text1"/>
          <w:sz w:val="24"/>
          <w:szCs w:val="24"/>
        </w:rPr>
        <w:tab/>
      </w:r>
      <w:r w:rsidR="006146CA" w:rsidRPr="006146CA">
        <w:rPr>
          <w:rFonts w:ascii="Times New Roman" w:hAnsi="Times New Roman"/>
          <w:color w:val="000000" w:themeColor="text1"/>
          <w:sz w:val="24"/>
          <w:szCs w:val="24"/>
        </w:rPr>
        <w:t xml:space="preserve"> </w:t>
      </w:r>
      <w:r w:rsidRPr="00110FDC">
        <w:rPr>
          <w:rFonts w:ascii="Times New Roman" w:hAnsi="Times New Roman"/>
          <w:color w:val="000000" w:themeColor="text1"/>
          <w:sz w:val="24"/>
          <w:szCs w:val="24"/>
        </w:rPr>
        <w:t>“p” piyasa katılımcısının, “t” teklif bölgesindeki, “r” blok veya esnek satış teklifi ile ilişkilendirilmiş “y” blok veya esnek satış teklifiyle aynı seviyedeki blok veya esnek satış teklifi sayısını,</w:t>
      </w:r>
    </w:p>
    <w:p w14:paraId="4D951408" w14:textId="215AC8C5" w:rsidR="006146CA" w:rsidRDefault="00EE01B1" w:rsidP="00500F90">
      <w:pPr>
        <w:tabs>
          <w:tab w:val="left" w:pos="540"/>
          <w:tab w:val="left" w:pos="566"/>
          <w:tab w:val="left" w:pos="1587"/>
        </w:tabs>
        <w:spacing w:after="0" w:line="240" w:lineRule="auto"/>
        <w:ind w:left="1587" w:hanging="1020"/>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ifade eder.</w:t>
      </w:r>
    </w:p>
    <w:p w14:paraId="32D4FE31" w14:textId="77777777" w:rsidR="00500F90" w:rsidRPr="00500F90" w:rsidRDefault="00500F90" w:rsidP="00500F90">
      <w:pPr>
        <w:tabs>
          <w:tab w:val="left" w:pos="540"/>
          <w:tab w:val="left" w:pos="566"/>
          <w:tab w:val="left" w:pos="1587"/>
        </w:tabs>
        <w:spacing w:after="0" w:line="240" w:lineRule="auto"/>
        <w:ind w:left="1587" w:hanging="1020"/>
        <w:jc w:val="both"/>
        <w:rPr>
          <w:rFonts w:ascii="Times New Roman" w:hAnsi="Times New Roman"/>
          <w:color w:val="000000" w:themeColor="text1"/>
          <w:sz w:val="24"/>
          <w:szCs w:val="24"/>
        </w:rPr>
      </w:pPr>
    </w:p>
    <w:p w14:paraId="6B2E50BE" w14:textId="77777777" w:rsidR="00EE01B1" w:rsidRPr="00110FDC" w:rsidRDefault="00EE01B1" w:rsidP="00110FDC">
      <w:pPr>
        <w:spacing w:after="0" w:line="240" w:lineRule="auto"/>
        <w:ind w:firstLine="567"/>
        <w:jc w:val="both"/>
        <w:rPr>
          <w:rFonts w:ascii="Times New Roman" w:hAnsi="Times New Roman"/>
          <w:b/>
          <w:sz w:val="24"/>
          <w:szCs w:val="24"/>
        </w:rPr>
      </w:pPr>
      <w:r w:rsidRPr="00110FDC">
        <w:rPr>
          <w:rFonts w:ascii="Times New Roman" w:hAnsi="Times New Roman"/>
          <w:b/>
          <w:sz w:val="24"/>
          <w:szCs w:val="24"/>
        </w:rPr>
        <w:t>Blok veya esnek alış teklifleri için avans ödemelerine esas birim bedellerin belirlenmesi</w:t>
      </w:r>
    </w:p>
    <w:p w14:paraId="6ADC810E" w14:textId="77777777" w:rsidR="00EE01B1" w:rsidRPr="00110FDC" w:rsidRDefault="00EE01B1" w:rsidP="00110FDC">
      <w:pPr>
        <w:ind w:firstLine="567"/>
        <w:jc w:val="both"/>
        <w:rPr>
          <w:rFonts w:ascii="Times New Roman" w:hAnsi="Times New Roman"/>
          <w:b/>
          <w:color w:val="000000" w:themeColor="text1"/>
          <w:sz w:val="24"/>
          <w:szCs w:val="24"/>
        </w:rPr>
      </w:pPr>
      <w:r w:rsidRPr="00110FDC">
        <w:rPr>
          <w:rFonts w:ascii="Times New Roman" w:hAnsi="Times New Roman"/>
          <w:b/>
          <w:color w:val="000000" w:themeColor="text1"/>
          <w:sz w:val="24"/>
          <w:szCs w:val="24"/>
        </w:rPr>
        <w:t>MADDE 13</w:t>
      </w:r>
      <w:r w:rsidR="00796130">
        <w:rPr>
          <w:rStyle w:val="FootnoteReference"/>
          <w:rFonts w:ascii="Times New Roman" w:hAnsi="Times New Roman"/>
          <w:b/>
          <w:color w:val="000000" w:themeColor="text1"/>
          <w:sz w:val="24"/>
          <w:szCs w:val="24"/>
        </w:rPr>
        <w:footnoteReference w:id="24"/>
      </w:r>
      <w:r w:rsidRPr="00110FDC">
        <w:rPr>
          <w:rFonts w:ascii="Times New Roman" w:hAnsi="Times New Roman"/>
          <w:b/>
          <w:color w:val="000000" w:themeColor="text1"/>
          <w:sz w:val="24"/>
          <w:szCs w:val="24"/>
        </w:rPr>
        <w:t xml:space="preserve"> –</w:t>
      </w:r>
      <w:r w:rsidR="006146CA">
        <w:rPr>
          <w:rFonts w:ascii="Times New Roman" w:hAnsi="Times New Roman"/>
          <w:b/>
          <w:color w:val="000000" w:themeColor="text1"/>
          <w:sz w:val="24"/>
          <w:szCs w:val="24"/>
        </w:rPr>
        <w:t xml:space="preserve"> </w:t>
      </w:r>
      <w:r w:rsidRPr="00110FDC">
        <w:rPr>
          <w:rFonts w:ascii="Times New Roman" w:hAnsi="Times New Roman"/>
          <w:color w:val="000000" w:themeColor="text1"/>
          <w:sz w:val="24"/>
          <w:szCs w:val="24"/>
        </w:rPr>
        <w:t>(</w:t>
      </w:r>
      <w:r w:rsidRPr="00110FDC">
        <w:rPr>
          <w:rFonts w:ascii="Times New Roman" w:hAnsi="Times New Roman"/>
          <w:sz w:val="24"/>
          <w:szCs w:val="24"/>
        </w:rPr>
        <w:t>1) Bir blok veya esnek alış teklifin geçerli olduğu zaman dilimindeki ağırlıklı ortalama piyasa takas fiyatı aşağıdaki formüle göre hesaplanır:</w:t>
      </w:r>
    </w:p>
    <w:p w14:paraId="284FF5FE" w14:textId="77777777" w:rsidR="00EE01B1" w:rsidRPr="00110FDC" w:rsidRDefault="00EE01B1" w:rsidP="00EE01B1">
      <w:pPr>
        <w:jc w:val="both"/>
        <w:rPr>
          <w:rFonts w:eastAsiaTheme="minorEastAsia"/>
        </w:rPr>
      </w:pPr>
      <m:oMathPara>
        <m:oMath>
          <m:r>
            <w:rPr>
              <w:rFonts w:ascii="Cambria Math" w:hAnsi="Cambria Math"/>
            </w:rPr>
            <m:t>AOPT</m:t>
          </m:r>
          <m:sSub>
            <m:sSubPr>
              <m:ctrlPr>
                <w:rPr>
                  <w:rFonts w:ascii="Cambria Math" w:hAnsi="Cambria Math"/>
                  <w:i/>
                </w:rPr>
              </m:ctrlPr>
            </m:sSubPr>
            <m:e>
              <m:r>
                <w:rPr>
                  <w:rFonts w:ascii="Cambria Math" w:hAnsi="Cambria Math"/>
                </w:rPr>
                <m:t>F</m:t>
              </m:r>
            </m:e>
            <m:sub>
              <m:r>
                <w:rPr>
                  <w:rFonts w:ascii="Cambria Math" w:hAnsi="Cambria Math"/>
                </w:rPr>
                <m:t>p,t,r</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u=a</m:t>
                  </m:r>
                </m:sub>
                <m:sup>
                  <m:r>
                    <w:rPr>
                      <w:rFonts w:ascii="Cambria Math" w:hAnsi="Cambria Math"/>
                    </w:rPr>
                    <m:t>b</m:t>
                  </m:r>
                </m:sup>
                <m:e>
                  <m:r>
                    <w:rPr>
                      <w:rFonts w:ascii="Cambria Math" w:hAnsi="Cambria Math"/>
                    </w:rPr>
                    <m:t>(PT</m:t>
                  </m:r>
                  <m:sSub>
                    <m:sSubPr>
                      <m:ctrlPr>
                        <w:rPr>
                          <w:rFonts w:ascii="Cambria Math" w:hAnsi="Cambria Math"/>
                          <w:i/>
                        </w:rPr>
                      </m:ctrlPr>
                    </m:sSubPr>
                    <m:e>
                      <m:r>
                        <w:rPr>
                          <w:rFonts w:ascii="Cambria Math" w:hAnsi="Cambria Math"/>
                        </w:rPr>
                        <m:t>F</m:t>
                      </m:r>
                    </m:e>
                    <m:sub>
                      <m:r>
                        <w:rPr>
                          <w:rFonts w:ascii="Cambria Math" w:hAnsi="Cambria Math"/>
                        </w:rPr>
                        <m:t>t,u</m:t>
                      </m:r>
                    </m:sub>
                  </m:sSub>
                  <m:r>
                    <w:rPr>
                      <w:rFonts w:ascii="Cambria Math" w:hAnsi="Cambria Math"/>
                    </w:rPr>
                    <m:t>x GÖP</m:t>
                  </m:r>
                  <m:sSub>
                    <m:sSubPr>
                      <m:ctrlPr>
                        <w:rPr>
                          <w:rFonts w:ascii="Cambria Math" w:hAnsi="Cambria Math"/>
                          <w:i/>
                        </w:rPr>
                      </m:ctrlPr>
                    </m:sSubPr>
                    <m:e>
                      <m:r>
                        <w:rPr>
                          <w:rFonts w:ascii="Cambria Math" w:hAnsi="Cambria Math"/>
                        </w:rPr>
                        <m:t>AM</m:t>
                      </m:r>
                    </m:e>
                    <m:sub>
                      <m:r>
                        <w:rPr>
                          <w:rFonts w:ascii="Cambria Math" w:hAnsi="Cambria Math"/>
                        </w:rPr>
                        <m:t>p,t,r,u</m:t>
                      </m:r>
                    </m:sub>
                  </m:sSub>
                  <m:r>
                    <w:rPr>
                      <w:rFonts w:ascii="Cambria Math" w:hAnsi="Cambria Math"/>
                    </w:rPr>
                    <m:t xml:space="preserve">) </m:t>
                  </m:r>
                </m:e>
              </m:nary>
            </m:num>
            <m:den>
              <m:nary>
                <m:naryPr>
                  <m:chr m:val="∑"/>
                  <m:limLoc m:val="subSup"/>
                  <m:ctrlPr>
                    <w:rPr>
                      <w:rFonts w:ascii="Cambria Math" w:hAnsi="Cambria Math"/>
                      <w:i/>
                    </w:rPr>
                  </m:ctrlPr>
                </m:naryPr>
                <m:sub>
                  <m:r>
                    <w:rPr>
                      <w:rFonts w:ascii="Cambria Math" w:hAnsi="Cambria Math"/>
                    </w:rPr>
                    <m:t>u=a</m:t>
                  </m:r>
                </m:sub>
                <m:sup>
                  <m:r>
                    <w:rPr>
                      <w:rFonts w:ascii="Cambria Math" w:hAnsi="Cambria Math"/>
                    </w:rPr>
                    <m:t>b</m:t>
                  </m:r>
                </m:sup>
                <m:e>
                  <m:r>
                    <w:rPr>
                      <w:rFonts w:ascii="Cambria Math" w:hAnsi="Cambria Math"/>
                    </w:rPr>
                    <m:t>GÖP</m:t>
                  </m:r>
                  <m:sSub>
                    <m:sSubPr>
                      <m:ctrlPr>
                        <w:rPr>
                          <w:rFonts w:ascii="Cambria Math" w:hAnsi="Cambria Math"/>
                          <w:i/>
                        </w:rPr>
                      </m:ctrlPr>
                    </m:sSubPr>
                    <m:e>
                      <m:r>
                        <w:rPr>
                          <w:rFonts w:ascii="Cambria Math" w:hAnsi="Cambria Math"/>
                        </w:rPr>
                        <m:t>AM</m:t>
                      </m:r>
                    </m:e>
                    <m:sub>
                      <m:r>
                        <w:rPr>
                          <w:rFonts w:ascii="Cambria Math" w:hAnsi="Cambria Math"/>
                        </w:rPr>
                        <m:t>p,t,r,u</m:t>
                      </m:r>
                    </m:sub>
                  </m:sSub>
                  <m:r>
                    <w:rPr>
                      <w:rFonts w:ascii="Cambria Math" w:hAnsi="Cambria Math"/>
                    </w:rPr>
                    <m:t xml:space="preserve"> </m:t>
                  </m:r>
                </m:e>
              </m:nary>
            </m:den>
          </m:f>
          <m:r>
            <w:rPr>
              <w:rFonts w:ascii="Cambria Math" w:hAnsi="Cambria Math"/>
            </w:rPr>
            <m:t>,u=[a,b)</m:t>
          </m:r>
        </m:oMath>
      </m:oMathPara>
    </w:p>
    <w:p w14:paraId="1E9CC726" w14:textId="77777777" w:rsidR="00EE01B1" w:rsidRPr="00110FDC" w:rsidRDefault="00EE01B1" w:rsidP="00110FDC">
      <w:pPr>
        <w:spacing w:after="0" w:line="240" w:lineRule="auto"/>
        <w:ind w:firstLine="567"/>
        <w:jc w:val="both"/>
        <w:rPr>
          <w:rFonts w:ascii="Times New Roman" w:hAnsi="Times New Roman"/>
          <w:sz w:val="24"/>
          <w:szCs w:val="24"/>
        </w:rPr>
      </w:pPr>
      <w:r w:rsidRPr="00110FDC">
        <w:rPr>
          <w:rFonts w:ascii="Times New Roman" w:hAnsi="Times New Roman"/>
          <w:sz w:val="24"/>
          <w:szCs w:val="24"/>
        </w:rPr>
        <w:t xml:space="preserve">(2) Bu formülde geçen; </w:t>
      </w:r>
    </w:p>
    <w:p w14:paraId="7F90C748"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AOPTF</w:t>
      </w:r>
      <w:r w:rsidRPr="00110FDC">
        <w:rPr>
          <w:rFonts w:ascii="Times New Roman" w:hAnsi="Times New Roman"/>
          <w:color w:val="000000" w:themeColor="text1"/>
          <w:sz w:val="24"/>
          <w:szCs w:val="24"/>
          <w:vertAlign w:val="subscript"/>
        </w:rPr>
        <w:t xml:space="preserve">p,t,r </w:t>
      </w:r>
      <w:r w:rsidRPr="00110FDC">
        <w:rPr>
          <w:rFonts w:ascii="Times New Roman" w:hAnsi="Times New Roman"/>
          <w:color w:val="000000" w:themeColor="text1"/>
          <w:sz w:val="24"/>
          <w:szCs w:val="24"/>
        </w:rPr>
        <w:tab/>
        <w:t xml:space="preserve">“p” piyasa katılımcısının, “t” teklif bölgesindeki, “r” blok veya esnek teklifi için geçerli olan ağırlıklı ortalama piyasa takas fiyatını (TL/MWh), </w:t>
      </w:r>
    </w:p>
    <w:p w14:paraId="703A041F"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PTF</w:t>
      </w:r>
      <w:r w:rsidRPr="00110FDC">
        <w:rPr>
          <w:rFonts w:ascii="Times New Roman" w:hAnsi="Times New Roman"/>
          <w:color w:val="000000" w:themeColor="text1"/>
          <w:sz w:val="24"/>
          <w:szCs w:val="24"/>
          <w:vertAlign w:val="subscript"/>
        </w:rPr>
        <w:t>t,u</w:t>
      </w:r>
      <w:r w:rsidRPr="00110FDC">
        <w:rPr>
          <w:rFonts w:ascii="Times New Roman" w:hAnsi="Times New Roman"/>
          <w:color w:val="000000" w:themeColor="text1"/>
          <w:sz w:val="24"/>
          <w:szCs w:val="24"/>
        </w:rPr>
        <w:t xml:space="preserve"> </w:t>
      </w:r>
      <w:r w:rsidRPr="00110FDC">
        <w:rPr>
          <w:rFonts w:ascii="Times New Roman" w:hAnsi="Times New Roman"/>
          <w:color w:val="000000" w:themeColor="text1"/>
          <w:sz w:val="24"/>
          <w:szCs w:val="24"/>
        </w:rPr>
        <w:tab/>
      </w:r>
      <w:r w:rsidR="00155BFD">
        <w:rPr>
          <w:rFonts w:ascii="Times New Roman" w:hAnsi="Times New Roman"/>
          <w:color w:val="000000" w:themeColor="text1"/>
          <w:sz w:val="24"/>
          <w:szCs w:val="24"/>
        </w:rPr>
        <w:tab/>
      </w:r>
      <w:r w:rsidRPr="00110FDC">
        <w:rPr>
          <w:rFonts w:ascii="Times New Roman" w:hAnsi="Times New Roman"/>
          <w:color w:val="000000" w:themeColor="text1"/>
          <w:sz w:val="24"/>
          <w:szCs w:val="24"/>
        </w:rPr>
        <w:t xml:space="preserve">“t” teklif bölgesi için, “u” uzlaştırma dönemindeki piyasa takas fiyatını (TL/MWh), </w:t>
      </w:r>
    </w:p>
    <w:p w14:paraId="7CBD19E9"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GÖPAM</w:t>
      </w:r>
      <w:r w:rsidRPr="00110FDC">
        <w:rPr>
          <w:rFonts w:ascii="Times New Roman" w:hAnsi="Times New Roman"/>
          <w:color w:val="000000" w:themeColor="text1"/>
          <w:sz w:val="24"/>
          <w:szCs w:val="24"/>
          <w:vertAlign w:val="subscript"/>
        </w:rPr>
        <w:t>p,t,r,u</w:t>
      </w:r>
      <w:r w:rsidRPr="00110FDC">
        <w:rPr>
          <w:rFonts w:ascii="Times New Roman" w:hAnsi="Times New Roman"/>
          <w:color w:val="000000" w:themeColor="text1"/>
          <w:sz w:val="24"/>
          <w:szCs w:val="24"/>
        </w:rPr>
        <w:tab/>
        <w:t>“p” piyasa katılımcısının, “t” teklif bölgesindeki, “r” blok veya esnek teklifinin, “u” uzlaştırma dönemi için kabul edilen alış miktarını (MWh),</w:t>
      </w:r>
    </w:p>
    <w:p w14:paraId="7D97FB33" w14:textId="77777777" w:rsidR="00EE01B1" w:rsidRPr="00110FDC" w:rsidRDefault="00155BFD"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55BFD">
        <w:rPr>
          <w:rFonts w:ascii="Times New Roman" w:hAnsi="Times New Roman"/>
          <w:color w:val="000000" w:themeColor="text1"/>
          <w:sz w:val="24"/>
          <w:szCs w:val="24"/>
        </w:rPr>
        <w:t>a</w:t>
      </w:r>
      <w:r w:rsidRPr="00155BFD">
        <w:rPr>
          <w:rFonts w:ascii="Times New Roman" w:hAnsi="Times New Roman"/>
          <w:color w:val="000000" w:themeColor="text1"/>
          <w:sz w:val="24"/>
          <w:szCs w:val="24"/>
        </w:rPr>
        <w:tab/>
      </w:r>
      <w:r w:rsidRPr="00155BFD">
        <w:rPr>
          <w:rFonts w:ascii="Times New Roman" w:hAnsi="Times New Roman"/>
          <w:color w:val="000000" w:themeColor="text1"/>
          <w:sz w:val="24"/>
          <w:szCs w:val="24"/>
        </w:rPr>
        <w:tab/>
      </w:r>
      <w:r w:rsidR="00EE01B1" w:rsidRPr="00110FDC">
        <w:rPr>
          <w:rFonts w:ascii="Times New Roman" w:hAnsi="Times New Roman"/>
          <w:color w:val="000000" w:themeColor="text1"/>
          <w:sz w:val="24"/>
          <w:szCs w:val="24"/>
        </w:rPr>
        <w:t>“p” piyasa katılımcısının, “t” teklif bölgesindeki, “r” blok veya esnek teklifinin kabul edildiği başlangıç zamanını,</w:t>
      </w:r>
    </w:p>
    <w:p w14:paraId="4A8CC199" w14:textId="77777777" w:rsidR="00EE01B1" w:rsidRPr="00110FDC" w:rsidRDefault="00155BFD"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55BFD">
        <w:rPr>
          <w:rFonts w:ascii="Times New Roman" w:hAnsi="Times New Roman"/>
          <w:color w:val="000000" w:themeColor="text1"/>
          <w:sz w:val="24"/>
          <w:szCs w:val="24"/>
        </w:rPr>
        <w:t>b</w:t>
      </w:r>
      <w:r w:rsidRPr="00155BFD">
        <w:rPr>
          <w:rFonts w:ascii="Times New Roman" w:hAnsi="Times New Roman"/>
          <w:color w:val="000000" w:themeColor="text1"/>
          <w:sz w:val="24"/>
          <w:szCs w:val="24"/>
        </w:rPr>
        <w:tab/>
      </w:r>
      <w:r w:rsidRPr="00155BFD">
        <w:rPr>
          <w:rFonts w:ascii="Times New Roman" w:hAnsi="Times New Roman"/>
          <w:color w:val="000000" w:themeColor="text1"/>
          <w:sz w:val="24"/>
          <w:szCs w:val="24"/>
        </w:rPr>
        <w:tab/>
      </w:r>
      <w:r w:rsidR="00EE01B1" w:rsidRPr="00110FDC">
        <w:rPr>
          <w:rFonts w:ascii="Times New Roman" w:hAnsi="Times New Roman"/>
          <w:color w:val="000000" w:themeColor="text1"/>
          <w:sz w:val="24"/>
          <w:szCs w:val="24"/>
        </w:rPr>
        <w:t>“p” piyasa katılımcısının, “t” teklif bölgesindeki, “r” blok veya esnek teklifinin kabul edildiği bitiş zamanını,</w:t>
      </w:r>
    </w:p>
    <w:p w14:paraId="14EBDDFB" w14:textId="77777777" w:rsidR="00EE01B1" w:rsidRPr="00110FDC" w:rsidRDefault="00EE01B1" w:rsidP="00110FDC">
      <w:pPr>
        <w:spacing w:after="0" w:line="240" w:lineRule="auto"/>
        <w:ind w:firstLine="56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ifade eder.</w:t>
      </w:r>
    </w:p>
    <w:p w14:paraId="37AFA007" w14:textId="77777777" w:rsidR="00EE01B1" w:rsidRPr="00110FDC" w:rsidRDefault="00EE01B1" w:rsidP="00110FDC">
      <w:pPr>
        <w:tabs>
          <w:tab w:val="left" w:pos="540"/>
          <w:tab w:val="left" w:pos="566"/>
          <w:tab w:val="left" w:pos="1587"/>
        </w:tabs>
        <w:ind w:left="540"/>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ab/>
        <w:t>(3) Bir blok veya esnek alış teklifin tüketici fazlasının negatif olmaması için ilgili piyasa katılımcısının borcundan mahsup edilecek birim bedel aşağıdaki formüle göre hesaplanır:</w:t>
      </w:r>
    </w:p>
    <w:p w14:paraId="679B0F12" w14:textId="77777777" w:rsidR="00EE01B1" w:rsidRPr="00742FE8" w:rsidRDefault="00EE01B1" w:rsidP="00EE01B1">
      <w:pPr>
        <w:tabs>
          <w:tab w:val="left" w:pos="540"/>
          <w:tab w:val="left" w:pos="566"/>
          <w:tab w:val="left" w:pos="1587"/>
        </w:tabs>
        <w:jc w:val="both"/>
        <w:rPr>
          <w:color w:val="000000" w:themeColor="text1"/>
        </w:rPr>
      </w:pPr>
      <m:oMathPara>
        <m:oMath>
          <m:r>
            <w:rPr>
              <w:rFonts w:ascii="Cambria Math" w:hAnsi="Cambria Math"/>
              <w:color w:val="000000" w:themeColor="text1"/>
            </w:rPr>
            <m:t>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p,t,r</m:t>
              </m:r>
            </m:sub>
          </m:sSub>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u=a</m:t>
              </m:r>
            </m:sub>
            <m:sup>
              <m:r>
                <w:rPr>
                  <w:rFonts w:ascii="Cambria Math" w:hAnsi="Cambria Math"/>
                  <w:color w:val="000000" w:themeColor="text1"/>
                </w:rPr>
                <m:t>b</m:t>
              </m:r>
            </m:sup>
            <m:e>
              <m:d>
                <m:dPr>
                  <m:ctrlPr>
                    <w:rPr>
                      <w:rFonts w:ascii="Cambria Math" w:hAnsi="Cambria Math"/>
                      <w:i/>
                      <w:color w:val="000000" w:themeColor="text1"/>
                    </w:rPr>
                  </m:ctrlPr>
                </m:dPr>
                <m:e>
                  <m:r>
                    <w:rPr>
                      <w:rFonts w:ascii="Cambria Math" w:hAnsi="Cambria Math"/>
                      <w:color w:val="000000" w:themeColor="text1"/>
                    </w:rPr>
                    <m:t>GÖPAT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p,t,r</m:t>
                      </m:r>
                    </m:sub>
                  </m:sSub>
                  <m:r>
                    <w:rPr>
                      <w:rFonts w:ascii="Cambria Math" w:hAnsi="Cambria Math"/>
                      <w:color w:val="000000" w:themeColor="text1"/>
                    </w:rPr>
                    <m:t>-PTF</m:t>
                  </m:r>
                  <m:sSub>
                    <m:sSubPr>
                      <m:ctrlPr>
                        <w:rPr>
                          <w:rFonts w:ascii="Cambria Math" w:hAnsi="Cambria Math"/>
                          <w:i/>
                          <w:color w:val="000000" w:themeColor="text1"/>
                        </w:rPr>
                      </m:ctrlPr>
                    </m:sSubPr>
                    <m:e>
                      <m:r>
                        <m:rPr>
                          <m:sty m:val="p"/>
                        </m:rPr>
                        <w:rPr>
                          <w:rFonts w:ascii="Cambria Math" w:hAnsi="Cambria Math"/>
                          <w:color w:val="000000" w:themeColor="text1"/>
                        </w:rPr>
                        <w:softHyphen/>
                      </m:r>
                    </m:e>
                    <m:sub>
                      <m:r>
                        <w:rPr>
                          <w:rFonts w:ascii="Cambria Math" w:hAnsi="Cambria Math"/>
                          <w:color w:val="000000" w:themeColor="text1"/>
                        </w:rPr>
                        <m:t>t,u</m:t>
                      </m:r>
                    </m:sub>
                  </m:sSub>
                </m:e>
              </m:d>
              <m:r>
                <w:rPr>
                  <w:rFonts w:ascii="Cambria Math" w:hAnsi="Cambria Math"/>
                  <w:color w:val="000000" w:themeColor="text1"/>
                </w:rPr>
                <m:t xml:space="preserve"> x </m:t>
              </m:r>
              <m:r>
                <w:rPr>
                  <w:rFonts w:ascii="Cambria Math" w:hAnsi="Cambria Math"/>
                </w:rPr>
                <m:t>GÖPA</m:t>
              </m:r>
              <m:sSub>
                <m:sSubPr>
                  <m:ctrlPr>
                    <w:rPr>
                      <w:rFonts w:ascii="Cambria Math" w:hAnsi="Cambria Math"/>
                      <w:i/>
                    </w:rPr>
                  </m:ctrlPr>
                </m:sSubPr>
                <m:e>
                  <m:r>
                    <w:rPr>
                      <w:rFonts w:ascii="Cambria Math" w:hAnsi="Cambria Math"/>
                    </w:rPr>
                    <m:t>M</m:t>
                  </m:r>
                </m:e>
                <m:sub>
                  <m:r>
                    <w:rPr>
                      <w:rFonts w:ascii="Cambria Math" w:hAnsi="Cambria Math"/>
                    </w:rPr>
                    <m:t>p,t,r,u</m:t>
                  </m:r>
                </m:sub>
              </m:sSub>
            </m:e>
          </m:nary>
          <m:r>
            <w:rPr>
              <w:rFonts w:ascii="Cambria Math" w:hAns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y=1</m:t>
              </m:r>
            </m:sub>
            <m:sup>
              <m:r>
                <w:rPr>
                  <w:rFonts w:ascii="Cambria Math" w:hAnsi="Cambria Math"/>
                  <w:color w:val="000000" w:themeColor="text1"/>
                </w:rPr>
                <m:t>m</m:t>
              </m:r>
            </m:sup>
            <m:e>
              <m:func>
                <m:funcPr>
                  <m:ctrlPr>
                    <w:rPr>
                      <w:rFonts w:ascii="Cambria Math" w:hAnsi="Cambria Math"/>
                      <w:i/>
                      <w:color w:val="000000" w:themeColor="text1"/>
                    </w:rPr>
                  </m:ctrlPr>
                </m:funcPr>
                <m:fName>
                  <m:r>
                    <m:rPr>
                      <m:sty m:val="p"/>
                    </m:rPr>
                    <w:rPr>
                      <w:rFonts w:ascii="Cambria Math" w:hAnsi="Cambria Math"/>
                      <w:color w:val="000000" w:themeColor="text1"/>
                    </w:rPr>
                    <m:t>max</m:t>
                  </m:r>
                </m:fName>
                <m:e>
                  <m:d>
                    <m:dPr>
                      <m:ctrlPr>
                        <w:rPr>
                          <w:rFonts w:ascii="Cambria Math" w:hAnsi="Cambria Math"/>
                          <w:i/>
                          <w:color w:val="000000" w:themeColor="text1"/>
                        </w:rPr>
                      </m:ctrlPr>
                    </m:dPr>
                    <m:e>
                      <m:r>
                        <w:rPr>
                          <w:rFonts w:ascii="Cambria Math" w:hAnsi="Cambria Math"/>
                          <w:color w:val="000000" w:themeColor="text1"/>
                        </w:rPr>
                        <m:t>T</m:t>
                      </m:r>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p,t,y</m:t>
                          </m:r>
                        </m:sub>
                      </m:sSub>
                      <m:r>
                        <w:rPr>
                          <w:rFonts w:ascii="Cambria Math" w:hAnsi="Cambria Math"/>
                          <w:color w:val="000000" w:themeColor="text1"/>
                        </w:rPr>
                        <m:t xml:space="preserve"> , 0</m:t>
                      </m:r>
                    </m:e>
                  </m:d>
                </m:e>
              </m:func>
            </m:e>
          </m:nary>
          <m:r>
            <w:rPr>
              <w:rFonts w:ascii="Cambria Math" w:hAnsi="Cambria Math"/>
              <w:color w:val="000000" w:themeColor="text1"/>
            </w:rPr>
            <m:t xml:space="preserve"> </m:t>
          </m:r>
        </m:oMath>
      </m:oMathPara>
    </w:p>
    <w:p w14:paraId="429E2046" w14:textId="77777777" w:rsidR="00EE01B1" w:rsidRPr="00742FE8" w:rsidRDefault="00EE01B1" w:rsidP="00EE01B1">
      <w:pPr>
        <w:jc w:val="both"/>
        <w:rPr>
          <w:rFonts w:eastAsiaTheme="minorEastAsia"/>
          <w:vertAlign w:val="subscript"/>
        </w:rPr>
      </w:pPr>
      <m:oMathPara>
        <m:oMath>
          <m:r>
            <w:rPr>
              <w:rFonts w:ascii="Cambria Math" w:hAnsi="Cambria Math"/>
              <w:vertAlign w:val="subscript"/>
            </w:rPr>
            <m:t>TF</m:t>
          </m:r>
          <m:sSub>
            <m:sSubPr>
              <m:ctrlPr>
                <w:rPr>
                  <w:rFonts w:ascii="Cambria Math" w:hAnsi="Cambria Math"/>
                  <w:i/>
                  <w:vertAlign w:val="subscript"/>
                </w:rPr>
              </m:ctrlPr>
            </m:sSubPr>
            <m:e>
              <m:r>
                <w:rPr>
                  <w:rFonts w:ascii="Cambria Math" w:hAnsi="Cambria Math"/>
                  <w:vertAlign w:val="subscript"/>
                </w:rPr>
                <m:t>B</m:t>
              </m:r>
            </m:e>
            <m:sub>
              <m:r>
                <w:rPr>
                  <w:rFonts w:ascii="Cambria Math" w:hAnsi="Cambria Math"/>
                  <w:vertAlign w:val="subscript"/>
                </w:rPr>
                <m:t>p,t,r</m:t>
              </m:r>
            </m:sub>
          </m:sSub>
          <m:r>
            <w:rPr>
              <w:rFonts w:ascii="Cambria Math" w:hAnsi="Cambria Math"/>
              <w:vertAlign w:val="subscript"/>
            </w:rPr>
            <m:t xml:space="preserve">=   </m:t>
          </m:r>
          <m:func>
            <m:funcPr>
              <m:ctrlPr>
                <w:rPr>
                  <w:rFonts w:ascii="Cambria Math" w:hAnsi="Cambria Math"/>
                  <w:i/>
                  <w:vertAlign w:val="subscript"/>
                </w:rPr>
              </m:ctrlPr>
            </m:funcPr>
            <m:fName>
              <m:d>
                <m:dPr>
                  <m:ctrlPr>
                    <w:rPr>
                      <w:rFonts w:ascii="Cambria Math" w:hAnsi="Cambria Math"/>
                      <w:vertAlign w:val="subscript"/>
                    </w:rPr>
                  </m:ctrlPr>
                </m:dPr>
                <m:e>
                  <m:r>
                    <m:rPr>
                      <m:sty m:val="p"/>
                    </m:rPr>
                    <w:rPr>
                      <w:rFonts w:ascii="Cambria Math" w:hAnsi="Cambria Math"/>
                      <w:vertAlign w:val="subscript"/>
                    </w:rPr>
                    <m:t>-1</m:t>
                  </m:r>
                </m:e>
              </m:d>
              <m:r>
                <m:rPr>
                  <m:sty m:val="p"/>
                </m:rPr>
                <w:rPr>
                  <w:rFonts w:ascii="Cambria Math" w:hAnsi="Cambria Math"/>
                  <w:vertAlign w:val="subscript"/>
                </w:rPr>
                <m:t>x min</m:t>
              </m:r>
            </m:fName>
            <m:e>
              <m:d>
                <m:dPr>
                  <m:ctrlPr>
                    <w:rPr>
                      <w:rFonts w:ascii="Cambria Math" w:hAnsi="Cambria Math"/>
                      <w:i/>
                      <w:vertAlign w:val="subscript"/>
                    </w:rPr>
                  </m:ctrlPr>
                </m:dPr>
                <m:e>
                  <m:r>
                    <w:rPr>
                      <w:rFonts w:ascii="Cambria Math" w:hAnsi="Cambria Math"/>
                      <w:vertAlign w:val="subscript"/>
                    </w:rPr>
                    <m:t xml:space="preserve">0, </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TF</m:t>
                          </m:r>
                        </m:e>
                        <m:sub>
                          <m:r>
                            <w:rPr>
                              <w:rFonts w:ascii="Cambria Math" w:hAnsi="Cambria Math"/>
                              <w:vertAlign w:val="subscript"/>
                            </w:rPr>
                            <m:t>p,t,r</m:t>
                          </m:r>
                        </m:sub>
                      </m:sSub>
                    </m:num>
                    <m:den>
                      <m:nary>
                        <m:naryPr>
                          <m:chr m:val="∑"/>
                          <m:limLoc m:val="subSup"/>
                          <m:ctrlPr>
                            <w:rPr>
                              <w:rFonts w:ascii="Cambria Math" w:hAnsi="Cambria Math"/>
                              <w:i/>
                            </w:rPr>
                          </m:ctrlPr>
                        </m:naryPr>
                        <m:sub>
                          <m:r>
                            <w:rPr>
                              <w:rFonts w:ascii="Cambria Math" w:hAnsi="Cambria Math"/>
                            </w:rPr>
                            <m:t>u=a</m:t>
                          </m:r>
                        </m:sub>
                        <m:sup>
                          <m:r>
                            <w:rPr>
                              <w:rFonts w:ascii="Cambria Math" w:hAnsi="Cambria Math"/>
                            </w:rPr>
                            <m:t>b</m:t>
                          </m:r>
                        </m:sup>
                        <m:e>
                          <m:r>
                            <w:rPr>
                              <w:rFonts w:ascii="Cambria Math" w:hAnsi="Cambria Math"/>
                            </w:rPr>
                            <m:t>GÖP</m:t>
                          </m:r>
                          <m:sSub>
                            <m:sSubPr>
                              <m:ctrlPr>
                                <w:rPr>
                                  <w:rFonts w:ascii="Cambria Math" w:hAnsi="Cambria Math"/>
                                  <w:i/>
                                </w:rPr>
                              </m:ctrlPr>
                            </m:sSubPr>
                            <m:e>
                              <m:r>
                                <w:rPr>
                                  <w:rFonts w:ascii="Cambria Math" w:hAnsi="Cambria Math"/>
                                </w:rPr>
                                <m:t>AM</m:t>
                              </m:r>
                            </m:e>
                            <m:sub>
                              <m:r>
                                <w:rPr>
                                  <w:rFonts w:ascii="Cambria Math" w:hAnsi="Cambria Math"/>
                                </w:rPr>
                                <m:t>p,t,r,u</m:t>
                              </m:r>
                            </m:sub>
                          </m:sSub>
                          <m:r>
                            <w:rPr>
                              <w:rFonts w:ascii="Cambria Math" w:hAnsi="Cambria Math"/>
                            </w:rPr>
                            <m:t xml:space="preserve"> </m:t>
                          </m:r>
                        </m:e>
                      </m:nary>
                    </m:den>
                  </m:f>
                </m:e>
              </m:d>
            </m:e>
          </m:func>
          <m:r>
            <w:rPr>
              <w:rFonts w:ascii="Cambria Math" w:hAnsi="Cambria Math"/>
              <w:vertAlign w:val="subscript"/>
            </w:rPr>
            <m:t xml:space="preserve"> </m:t>
          </m:r>
        </m:oMath>
      </m:oMathPara>
    </w:p>
    <w:p w14:paraId="4748E523" w14:textId="77777777" w:rsidR="00EE01B1" w:rsidRPr="00742FE8" w:rsidRDefault="00EE01B1" w:rsidP="00EE01B1">
      <w:pPr>
        <w:jc w:val="both"/>
        <w:rPr>
          <w:rFonts w:eastAsiaTheme="minorEastAsia"/>
          <w:vertAlign w:val="subscript"/>
        </w:rPr>
      </w:pPr>
      <m:oMathPara>
        <m:oMath>
          <m:r>
            <w:rPr>
              <w:rFonts w:ascii="Cambria Math" w:hAnsi="Cambria Math"/>
            </w:rPr>
            <m:t>u=[a,b)</m:t>
          </m:r>
        </m:oMath>
      </m:oMathPara>
    </w:p>
    <w:p w14:paraId="528B4309" w14:textId="77777777" w:rsidR="00EE01B1" w:rsidRPr="00110FDC" w:rsidRDefault="00EE01B1" w:rsidP="00110FDC">
      <w:pPr>
        <w:spacing w:after="0" w:line="240" w:lineRule="auto"/>
        <w:ind w:firstLine="567"/>
        <w:jc w:val="both"/>
        <w:rPr>
          <w:rFonts w:ascii="Times New Roman" w:eastAsiaTheme="minorEastAsia" w:hAnsi="Times New Roman"/>
          <w:sz w:val="24"/>
          <w:szCs w:val="24"/>
        </w:rPr>
      </w:pPr>
      <w:r w:rsidRPr="00110FDC">
        <w:rPr>
          <w:rFonts w:ascii="Times New Roman" w:eastAsiaTheme="minorEastAsia" w:hAnsi="Times New Roman"/>
          <w:sz w:val="24"/>
          <w:szCs w:val="24"/>
        </w:rPr>
        <w:t>(4) Bu formüllerde geçen;</w:t>
      </w:r>
    </w:p>
    <w:p w14:paraId="43978982" w14:textId="77777777" w:rsidR="00EE01B1" w:rsidRPr="00110FDC" w:rsidRDefault="00EE01B1" w:rsidP="00110FDC">
      <w:pPr>
        <w:spacing w:after="0" w:line="240" w:lineRule="auto"/>
        <w:jc w:val="both"/>
        <w:rPr>
          <w:rFonts w:ascii="Times New Roman" w:eastAsiaTheme="minorEastAsia" w:hAnsi="Times New Roman"/>
          <w:sz w:val="24"/>
          <w:szCs w:val="24"/>
        </w:rPr>
      </w:pPr>
    </w:p>
    <w:p w14:paraId="278326E1"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TF</w:t>
      </w:r>
      <w:r w:rsidRPr="00110FDC">
        <w:rPr>
          <w:rFonts w:ascii="Times New Roman" w:hAnsi="Times New Roman"/>
          <w:color w:val="000000" w:themeColor="text1"/>
          <w:sz w:val="24"/>
          <w:szCs w:val="24"/>
          <w:vertAlign w:val="subscript"/>
        </w:rPr>
        <w:t>p,t,r,</w:t>
      </w:r>
      <w:r w:rsidRPr="00110FDC">
        <w:rPr>
          <w:rFonts w:ascii="Times New Roman" w:hAnsi="Times New Roman"/>
          <w:color w:val="000000" w:themeColor="text1"/>
          <w:sz w:val="24"/>
          <w:szCs w:val="24"/>
        </w:rPr>
        <w:tab/>
      </w:r>
      <w:r w:rsidR="00155BFD">
        <w:rPr>
          <w:rFonts w:ascii="Times New Roman" w:hAnsi="Times New Roman"/>
          <w:color w:val="000000" w:themeColor="text1"/>
          <w:sz w:val="24"/>
          <w:szCs w:val="24"/>
        </w:rPr>
        <w:tab/>
      </w:r>
      <w:r w:rsidRPr="00110FDC">
        <w:rPr>
          <w:rFonts w:ascii="Times New Roman" w:hAnsi="Times New Roman"/>
          <w:color w:val="000000" w:themeColor="text1"/>
          <w:sz w:val="24"/>
          <w:szCs w:val="24"/>
        </w:rPr>
        <w:t>“p” piyasa katılımcısının, “t” teklif bölgesindeki, “r” blok veya esnek alış teklifinin (varsa) bu teklif ile ilişkilendirilmiş diğer blok veya esnek alış teklifleriyle birlikte elde ettiği  tüketici fazlasını (TL),</w:t>
      </w:r>
    </w:p>
    <w:p w14:paraId="6D7759BB"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PTF</w:t>
      </w:r>
      <w:r w:rsidRPr="00110FDC">
        <w:rPr>
          <w:rFonts w:ascii="Times New Roman" w:hAnsi="Times New Roman"/>
          <w:color w:val="000000" w:themeColor="text1"/>
          <w:sz w:val="24"/>
          <w:szCs w:val="24"/>
          <w:vertAlign w:val="subscript"/>
        </w:rPr>
        <w:t>t,u</w:t>
      </w:r>
      <w:r w:rsidRPr="00110FDC">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 xml:space="preserve"> </w:t>
      </w:r>
      <w:r w:rsidR="00155BFD">
        <w:rPr>
          <w:rFonts w:ascii="Times New Roman" w:hAnsi="Times New Roman"/>
          <w:color w:val="000000" w:themeColor="text1"/>
          <w:sz w:val="24"/>
          <w:szCs w:val="24"/>
        </w:rPr>
        <w:tab/>
      </w:r>
      <w:r w:rsidRPr="00110FDC">
        <w:rPr>
          <w:rFonts w:ascii="Times New Roman" w:hAnsi="Times New Roman"/>
          <w:color w:val="000000" w:themeColor="text1"/>
          <w:sz w:val="24"/>
          <w:szCs w:val="24"/>
        </w:rPr>
        <w:t>“t” teklif bölgesi için, “u” uzlaştırma dönemindeki piyasa takas fiyatını (TL/MWh),</w:t>
      </w:r>
    </w:p>
    <w:p w14:paraId="16BA4C87"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GÖPATF</w:t>
      </w:r>
      <w:r w:rsidRPr="00110FDC">
        <w:rPr>
          <w:rFonts w:ascii="Times New Roman" w:hAnsi="Times New Roman"/>
          <w:color w:val="000000" w:themeColor="text1"/>
          <w:sz w:val="24"/>
          <w:szCs w:val="24"/>
          <w:vertAlign w:val="subscript"/>
        </w:rPr>
        <w:t>p,t,r</w:t>
      </w:r>
      <w:r w:rsidRPr="00110FDC">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“p” piyasa katılımcısının, “t” teklif bölgesindeki, “r” blok veya esnek alış teklifinin teklif fiyatını (TL/MWh),</w:t>
      </w:r>
    </w:p>
    <w:p w14:paraId="0416989C"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lastRenderedPageBreak/>
        <w:t>GÖPAM</w:t>
      </w:r>
      <w:r w:rsidRPr="00110FDC">
        <w:rPr>
          <w:rFonts w:ascii="Times New Roman" w:hAnsi="Times New Roman"/>
          <w:color w:val="000000" w:themeColor="text1"/>
          <w:sz w:val="24"/>
          <w:szCs w:val="24"/>
          <w:vertAlign w:val="subscript"/>
        </w:rPr>
        <w:t>p,t,r,u</w:t>
      </w:r>
      <w:r w:rsidRPr="00110FDC">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“p” piyasa katılımcısının, “t” teklif bölgesindeki, “r” blok veya esnek alış teklifinin, “u” uzlaştırma dönemindeki  kabul edilen alış miktarını (MWh),</w:t>
      </w:r>
    </w:p>
    <w:p w14:paraId="71E949AC"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TF</w:t>
      </w:r>
      <w:r w:rsidRPr="00110FDC">
        <w:rPr>
          <w:rFonts w:ascii="Times New Roman" w:hAnsi="Times New Roman"/>
          <w:color w:val="000000" w:themeColor="text1"/>
          <w:sz w:val="24"/>
          <w:szCs w:val="24"/>
          <w:vertAlign w:val="subscript"/>
        </w:rPr>
        <w:t>p,t,y</w:t>
      </w:r>
      <w:r w:rsidRPr="00110FDC">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“p” piyasa katılımcısının, “t” teklif bölgesindeki, (varsa) “r” blok veya esnek alış teklifi ile ilişkilendirilmiş bir alt seviyedeki “y” blok veya esnek alış teklifinin, (varsa) bu teklif ile ilişkilendirilmiş diğer blok veya esnek alış teklifleriyle birlikte elde ettiği tüketici fazlasını (TL),</w:t>
      </w:r>
    </w:p>
    <w:p w14:paraId="1DBC43BF"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TFB</w:t>
      </w:r>
      <w:r w:rsidRPr="00110FDC">
        <w:rPr>
          <w:rFonts w:ascii="Times New Roman" w:hAnsi="Times New Roman"/>
          <w:color w:val="000000" w:themeColor="text1"/>
          <w:sz w:val="24"/>
          <w:szCs w:val="24"/>
          <w:vertAlign w:val="subscript"/>
        </w:rPr>
        <w:t>p,t,r</w:t>
      </w:r>
      <w:r w:rsidRPr="00110FDC">
        <w:rPr>
          <w:rFonts w:ascii="Times New Roman" w:hAnsi="Times New Roman"/>
          <w:color w:val="000000" w:themeColor="text1"/>
          <w:sz w:val="24"/>
          <w:szCs w:val="24"/>
          <w:vertAlign w:val="subscript"/>
        </w:rPr>
        <w:tab/>
      </w:r>
      <w:r w:rsidR="00155BFD">
        <w:rPr>
          <w:rFonts w:ascii="Times New Roman" w:hAnsi="Times New Roman"/>
          <w:color w:val="000000" w:themeColor="text1"/>
          <w:sz w:val="24"/>
          <w:szCs w:val="24"/>
          <w:vertAlign w:val="subscript"/>
        </w:rPr>
        <w:tab/>
      </w:r>
      <w:r w:rsidRPr="00110FDC">
        <w:rPr>
          <w:rFonts w:ascii="Times New Roman" w:hAnsi="Times New Roman"/>
          <w:color w:val="000000" w:themeColor="text1"/>
          <w:sz w:val="24"/>
          <w:szCs w:val="24"/>
        </w:rPr>
        <w:t>“p” piyasa katılımcısının, “t” teklif bölgesinde,  “r” blok veya esnek alış teklifleri için tüketici fazlasının negatif olmaması için alış fiyatından mahsup edilecek birim bedeli (TL/MWh),</w:t>
      </w:r>
    </w:p>
    <w:p w14:paraId="5A7FBE64"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a</w:t>
      </w:r>
      <w:r w:rsidRPr="00110FDC">
        <w:rPr>
          <w:rFonts w:ascii="Times New Roman" w:hAnsi="Times New Roman"/>
          <w:color w:val="000000" w:themeColor="text1"/>
          <w:sz w:val="24"/>
          <w:szCs w:val="24"/>
        </w:rPr>
        <w:tab/>
      </w:r>
      <w:r w:rsidRPr="00110FDC">
        <w:rPr>
          <w:rFonts w:ascii="Times New Roman" w:hAnsi="Times New Roman"/>
          <w:color w:val="000000" w:themeColor="text1"/>
          <w:sz w:val="24"/>
          <w:szCs w:val="24"/>
        </w:rPr>
        <w:tab/>
        <w:t>“p” piyasa katılımcısının, “t” teklif bölgesindeki, “r” blok veya esnek alış teklifinin kabul edildiği başlangıç zamanını,</w:t>
      </w:r>
    </w:p>
    <w:p w14:paraId="71B7F185"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b</w:t>
      </w:r>
      <w:r w:rsidRPr="00110FDC">
        <w:rPr>
          <w:rFonts w:ascii="Times New Roman" w:hAnsi="Times New Roman"/>
          <w:color w:val="000000" w:themeColor="text1"/>
          <w:sz w:val="24"/>
          <w:szCs w:val="24"/>
        </w:rPr>
        <w:tab/>
      </w:r>
      <w:r w:rsidRPr="00110FDC">
        <w:rPr>
          <w:rFonts w:ascii="Times New Roman" w:hAnsi="Times New Roman"/>
          <w:color w:val="000000" w:themeColor="text1"/>
          <w:sz w:val="24"/>
          <w:szCs w:val="24"/>
        </w:rPr>
        <w:tab/>
        <w:t>“p” piyasa katılımcısının, “t” teklif bölgesindeki, “r” blok veya esnek alış teklifinin kabul edildiği bitiş zamanını,</w:t>
      </w:r>
    </w:p>
    <w:p w14:paraId="38B96A70" w14:textId="77777777" w:rsidR="00EE01B1" w:rsidRPr="00110FDC" w:rsidRDefault="00EE01B1" w:rsidP="00110FDC">
      <w:pPr>
        <w:tabs>
          <w:tab w:val="left" w:pos="540"/>
          <w:tab w:val="left" w:pos="566"/>
          <w:tab w:val="left" w:pos="1587"/>
        </w:tabs>
        <w:spacing w:after="0" w:line="240" w:lineRule="auto"/>
        <w:ind w:left="2124" w:hanging="155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m</w:t>
      </w:r>
      <w:r w:rsidRPr="00110FDC">
        <w:rPr>
          <w:rFonts w:ascii="Times New Roman" w:hAnsi="Times New Roman"/>
          <w:color w:val="000000" w:themeColor="text1"/>
          <w:sz w:val="24"/>
          <w:szCs w:val="24"/>
        </w:rPr>
        <w:tab/>
      </w:r>
      <w:r w:rsidRPr="00110FDC">
        <w:rPr>
          <w:rFonts w:ascii="Times New Roman" w:hAnsi="Times New Roman"/>
          <w:color w:val="000000" w:themeColor="text1"/>
          <w:sz w:val="24"/>
          <w:szCs w:val="24"/>
        </w:rPr>
        <w:tab/>
        <w:t>“p” piyasa katılımcısının, “t” teklif bölgesindeki, “r” blok veya esnek alış teklifi ile ilişkilendirilmiş “y” blok veya esnek alış teklifiyle aynı seviyedeki blok veya esnek alış teklifi sayısını,</w:t>
      </w:r>
    </w:p>
    <w:p w14:paraId="3C350C8D" w14:textId="77777777" w:rsidR="00EE01B1" w:rsidRPr="00110FDC" w:rsidRDefault="00EE01B1" w:rsidP="00110FDC">
      <w:pPr>
        <w:spacing w:after="0" w:line="240" w:lineRule="auto"/>
        <w:ind w:firstLine="567"/>
        <w:jc w:val="both"/>
        <w:rPr>
          <w:rFonts w:ascii="Times New Roman" w:hAnsi="Times New Roman"/>
          <w:color w:val="000000" w:themeColor="text1"/>
          <w:sz w:val="24"/>
          <w:szCs w:val="24"/>
        </w:rPr>
      </w:pPr>
      <w:r w:rsidRPr="00110FDC">
        <w:rPr>
          <w:rFonts w:ascii="Times New Roman" w:hAnsi="Times New Roman"/>
          <w:color w:val="000000" w:themeColor="text1"/>
          <w:sz w:val="24"/>
          <w:szCs w:val="24"/>
        </w:rPr>
        <w:t>ifade eder.</w:t>
      </w:r>
    </w:p>
    <w:p w14:paraId="5A2F4A19" w14:textId="77777777" w:rsidR="001E6F73" w:rsidRPr="00F664F9" w:rsidRDefault="001E6F73" w:rsidP="001E6F73">
      <w:pPr>
        <w:tabs>
          <w:tab w:val="left" w:pos="566"/>
        </w:tabs>
        <w:spacing w:after="0" w:line="240" w:lineRule="auto"/>
        <w:jc w:val="both"/>
        <w:rPr>
          <w:rFonts w:ascii="Times New Roman" w:eastAsia="Times New Roman" w:hAnsi="Times New Roman"/>
          <w:sz w:val="24"/>
          <w:szCs w:val="24"/>
        </w:rPr>
      </w:pPr>
    </w:p>
    <w:p w14:paraId="633A88DB"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Yürürlük</w:t>
      </w:r>
    </w:p>
    <w:p w14:paraId="57A1295A"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r w:rsidRPr="00F664F9">
        <w:rPr>
          <w:rFonts w:ascii="Times New Roman" w:eastAsia="Times New Roman" w:hAnsi="Times New Roman"/>
          <w:b/>
          <w:sz w:val="24"/>
          <w:szCs w:val="24"/>
        </w:rPr>
        <w:t>MADDE 1</w:t>
      </w:r>
      <w:r w:rsidR="003A2E7D">
        <w:rPr>
          <w:rFonts w:ascii="Times New Roman" w:eastAsia="Times New Roman" w:hAnsi="Times New Roman"/>
          <w:b/>
          <w:sz w:val="24"/>
          <w:szCs w:val="24"/>
        </w:rPr>
        <w:t>4</w:t>
      </w:r>
      <w:r w:rsidR="00796130">
        <w:rPr>
          <w:rStyle w:val="FootnoteReference"/>
          <w:rFonts w:ascii="Times New Roman" w:eastAsia="Times New Roman" w:hAnsi="Times New Roman"/>
          <w:b/>
          <w:sz w:val="24"/>
          <w:szCs w:val="24"/>
        </w:rPr>
        <w:footnoteReference w:id="25"/>
      </w:r>
      <w:r w:rsidRPr="00F664F9">
        <w:rPr>
          <w:rFonts w:ascii="Times New Roman" w:eastAsia="Times New Roman" w:hAnsi="Times New Roman"/>
          <w:b/>
          <w:sz w:val="24"/>
          <w:szCs w:val="24"/>
        </w:rPr>
        <w:t xml:space="preserve"> – </w:t>
      </w:r>
      <w:r w:rsidRPr="00F664F9">
        <w:rPr>
          <w:rFonts w:ascii="Times New Roman" w:eastAsia="Times New Roman" w:hAnsi="Times New Roman"/>
          <w:sz w:val="24"/>
          <w:szCs w:val="24"/>
        </w:rPr>
        <w:t xml:space="preserve">(1) Bu Usul ve Esaslar </w:t>
      </w:r>
      <w:r w:rsidRPr="0031647B">
        <w:rPr>
          <w:rFonts w:ascii="Times New Roman" w:eastAsia="Times New Roman" w:hAnsi="Times New Roman"/>
          <w:sz w:val="24"/>
          <w:szCs w:val="24"/>
        </w:rPr>
        <w:t xml:space="preserve">01/06/2016 </w:t>
      </w:r>
      <w:r w:rsidRPr="00F664F9">
        <w:rPr>
          <w:rFonts w:ascii="Times New Roman" w:eastAsia="Times New Roman" w:hAnsi="Times New Roman"/>
          <w:sz w:val="24"/>
          <w:szCs w:val="24"/>
        </w:rPr>
        <w:t>tarihinde yürürlüğe girer.</w:t>
      </w:r>
    </w:p>
    <w:p w14:paraId="5CBC3BD5" w14:textId="77777777" w:rsidR="001E6F73" w:rsidRPr="00F664F9" w:rsidRDefault="001E6F73" w:rsidP="001E6F73">
      <w:pPr>
        <w:spacing w:after="0" w:line="240" w:lineRule="auto"/>
        <w:ind w:firstLine="567"/>
        <w:jc w:val="both"/>
        <w:rPr>
          <w:rFonts w:ascii="Times New Roman" w:eastAsia="Times New Roman" w:hAnsi="Times New Roman"/>
          <w:sz w:val="24"/>
          <w:szCs w:val="24"/>
        </w:rPr>
      </w:pPr>
    </w:p>
    <w:p w14:paraId="3C5047ED" w14:textId="77777777" w:rsidR="001E6F73" w:rsidRPr="00F664F9" w:rsidRDefault="001E6F73" w:rsidP="001E6F73">
      <w:pPr>
        <w:spacing w:after="0" w:line="240" w:lineRule="auto"/>
        <w:ind w:firstLine="567"/>
        <w:jc w:val="both"/>
        <w:rPr>
          <w:rFonts w:ascii="Times New Roman" w:eastAsia="Times New Roman" w:hAnsi="Times New Roman"/>
          <w:b/>
          <w:sz w:val="24"/>
          <w:szCs w:val="24"/>
        </w:rPr>
      </w:pPr>
      <w:r w:rsidRPr="00F664F9">
        <w:rPr>
          <w:rFonts w:ascii="Times New Roman" w:eastAsia="Times New Roman" w:hAnsi="Times New Roman"/>
          <w:b/>
          <w:sz w:val="24"/>
          <w:szCs w:val="24"/>
        </w:rPr>
        <w:t>Yürütme</w:t>
      </w:r>
    </w:p>
    <w:p w14:paraId="6EE41800" w14:textId="77777777" w:rsidR="001E21C6" w:rsidRPr="001E6F73" w:rsidRDefault="001E6F73" w:rsidP="00D817DA">
      <w:pPr>
        <w:spacing w:after="0"/>
        <w:ind w:firstLine="567"/>
        <w:contextualSpacing/>
        <w:jc w:val="both"/>
        <w:rPr>
          <w:rFonts w:ascii="Times New Roman" w:hAnsi="Times New Roman"/>
          <w:sz w:val="24"/>
          <w:szCs w:val="24"/>
        </w:rPr>
      </w:pPr>
      <w:r w:rsidRPr="00F664F9">
        <w:rPr>
          <w:rFonts w:ascii="Times New Roman" w:eastAsia="Times New Roman" w:hAnsi="Times New Roman"/>
          <w:b/>
          <w:sz w:val="24"/>
          <w:szCs w:val="24"/>
        </w:rPr>
        <w:t>MADDE 1</w:t>
      </w:r>
      <w:r w:rsidR="003A2E7D">
        <w:rPr>
          <w:rFonts w:ascii="Times New Roman" w:eastAsia="Times New Roman" w:hAnsi="Times New Roman"/>
          <w:b/>
          <w:sz w:val="24"/>
          <w:szCs w:val="24"/>
        </w:rPr>
        <w:t>5</w:t>
      </w:r>
      <w:r w:rsidR="00796130">
        <w:rPr>
          <w:rStyle w:val="FootnoteReference"/>
          <w:rFonts w:ascii="Times New Roman" w:eastAsia="Times New Roman" w:hAnsi="Times New Roman"/>
          <w:b/>
          <w:sz w:val="24"/>
          <w:szCs w:val="24"/>
        </w:rPr>
        <w:footnoteReference w:id="26"/>
      </w:r>
      <w:r w:rsidRPr="00F664F9">
        <w:rPr>
          <w:rFonts w:ascii="Times New Roman" w:eastAsia="Times New Roman" w:hAnsi="Times New Roman"/>
          <w:b/>
          <w:sz w:val="24"/>
          <w:szCs w:val="24"/>
        </w:rPr>
        <w:t xml:space="preserve"> – </w:t>
      </w:r>
      <w:r w:rsidRPr="00F664F9">
        <w:rPr>
          <w:rFonts w:ascii="Times New Roman" w:eastAsia="Times New Roman" w:hAnsi="Times New Roman"/>
          <w:sz w:val="24"/>
          <w:szCs w:val="24"/>
        </w:rPr>
        <w:t>(1) Bu Usul ve Esaslar hükümlerini Enerji Piyasası Düzenleme Kurumu Başkanı yürütür.</w:t>
      </w:r>
      <w:bookmarkStart w:id="0" w:name="_GoBack"/>
      <w:bookmarkEnd w:id="0"/>
    </w:p>
    <w:sectPr w:rsidR="001E21C6" w:rsidRPr="001E6F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64B5B" w14:textId="77777777" w:rsidR="00914EB4" w:rsidRDefault="00914EB4" w:rsidP="00321E5E">
      <w:pPr>
        <w:spacing w:after="0" w:line="240" w:lineRule="auto"/>
      </w:pPr>
      <w:r>
        <w:separator/>
      </w:r>
    </w:p>
  </w:endnote>
  <w:endnote w:type="continuationSeparator" w:id="0">
    <w:p w14:paraId="21D0EEB7" w14:textId="77777777" w:rsidR="00914EB4" w:rsidRDefault="00914EB4" w:rsidP="0032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306699"/>
      <w:docPartObj>
        <w:docPartGallery w:val="Page Numbers (Bottom of Page)"/>
        <w:docPartUnique/>
      </w:docPartObj>
    </w:sdtPr>
    <w:sdtEndPr/>
    <w:sdtContent>
      <w:p w14:paraId="76EC9D7F" w14:textId="77777777" w:rsidR="00321E5E" w:rsidRDefault="00321E5E">
        <w:pPr>
          <w:pStyle w:val="Footer"/>
          <w:jc w:val="center"/>
        </w:pPr>
        <w:r>
          <w:fldChar w:fldCharType="begin"/>
        </w:r>
        <w:r>
          <w:instrText>PAGE   \* MERGEFORMAT</w:instrText>
        </w:r>
        <w:r>
          <w:fldChar w:fldCharType="separate"/>
        </w:r>
        <w:r w:rsidR="00500F90">
          <w:rPr>
            <w:noProof/>
          </w:rPr>
          <w:t>8</w:t>
        </w:r>
        <w:r>
          <w:fldChar w:fldCharType="end"/>
        </w:r>
      </w:p>
    </w:sdtContent>
  </w:sdt>
  <w:p w14:paraId="6E630E7D" w14:textId="77777777" w:rsidR="00321E5E" w:rsidRDefault="00321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CB66" w14:textId="77777777" w:rsidR="00914EB4" w:rsidRDefault="00914EB4" w:rsidP="00321E5E">
      <w:pPr>
        <w:spacing w:after="0" w:line="240" w:lineRule="auto"/>
      </w:pPr>
      <w:r>
        <w:separator/>
      </w:r>
    </w:p>
  </w:footnote>
  <w:footnote w:type="continuationSeparator" w:id="0">
    <w:p w14:paraId="496573FB" w14:textId="77777777" w:rsidR="00914EB4" w:rsidRDefault="00914EB4" w:rsidP="00321E5E">
      <w:pPr>
        <w:spacing w:after="0" w:line="240" w:lineRule="auto"/>
      </w:pPr>
      <w:r>
        <w:continuationSeparator/>
      </w:r>
    </w:p>
  </w:footnote>
  <w:footnote w:id="1">
    <w:p w14:paraId="3352EC5B" w14:textId="161703D2" w:rsidR="004814A7" w:rsidRDefault="004814A7" w:rsidP="0013791D">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234E21">
        <w:rPr>
          <w:sz w:val="20"/>
        </w:rPr>
        <w:t>Kurul Kararı ile</w:t>
      </w:r>
      <w:r w:rsidR="00234E21" w:rsidRPr="00500F90">
        <w:rPr>
          <w:sz w:val="20"/>
        </w:rPr>
        <w:t xml:space="preserve"> </w:t>
      </w:r>
      <w:r w:rsidRPr="00500F90">
        <w:rPr>
          <w:sz w:val="20"/>
        </w:rPr>
        <w:t>değiştirilmiştir.</w:t>
      </w:r>
    </w:p>
  </w:footnote>
  <w:footnote w:id="2">
    <w:p w14:paraId="0F4239CD" w14:textId="0BFA5FD7" w:rsidR="004814A7" w:rsidRPr="00500F90" w:rsidRDefault="004814A7"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234E21">
        <w:rPr>
          <w:sz w:val="20"/>
        </w:rPr>
        <w:t>Kurul Kararı ile</w:t>
      </w:r>
      <w:r w:rsidR="00234E21" w:rsidRPr="008D2DEC">
        <w:rPr>
          <w:sz w:val="20"/>
        </w:rPr>
        <w:t xml:space="preserve"> </w:t>
      </w:r>
      <w:r w:rsidRPr="00500F90">
        <w:rPr>
          <w:sz w:val="20"/>
        </w:rPr>
        <w:t>eklenmiştir.</w:t>
      </w:r>
    </w:p>
  </w:footnote>
  <w:footnote w:id="3">
    <w:p w14:paraId="7AB01FAC" w14:textId="1F3B78B3" w:rsidR="004814A7" w:rsidRPr="00500F90" w:rsidRDefault="004814A7"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234E21">
        <w:rPr>
          <w:sz w:val="20"/>
        </w:rPr>
        <w:t>Kurul Kararı ile</w:t>
      </w:r>
      <w:r w:rsidR="00234E21" w:rsidRPr="008D2DEC">
        <w:rPr>
          <w:sz w:val="20"/>
        </w:rPr>
        <w:t xml:space="preserve"> </w:t>
      </w:r>
      <w:r w:rsidRPr="00500F90">
        <w:rPr>
          <w:sz w:val="20"/>
        </w:rPr>
        <w:t>eklenmiştir.</w:t>
      </w:r>
    </w:p>
  </w:footnote>
  <w:footnote w:id="4">
    <w:p w14:paraId="51BBFE26" w14:textId="47922A57" w:rsidR="004814A7" w:rsidRPr="00500F90" w:rsidRDefault="004814A7"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234E21">
        <w:rPr>
          <w:sz w:val="20"/>
        </w:rPr>
        <w:t>Kurul Kararı ile</w:t>
      </w:r>
      <w:r w:rsidR="00234E21" w:rsidRPr="008D2DEC">
        <w:rPr>
          <w:sz w:val="20"/>
        </w:rPr>
        <w:t xml:space="preserve"> </w:t>
      </w:r>
      <w:r w:rsidRPr="00500F90">
        <w:rPr>
          <w:sz w:val="20"/>
        </w:rPr>
        <w:t>değiştirilmiştir.</w:t>
      </w:r>
    </w:p>
  </w:footnote>
  <w:footnote w:id="5">
    <w:p w14:paraId="3411CA9A" w14:textId="4D6F381A" w:rsidR="00AC771D" w:rsidRDefault="00AC771D" w:rsidP="0013791D">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234E21">
        <w:rPr>
          <w:sz w:val="20"/>
        </w:rPr>
        <w:t>Kurul Kararı ile</w:t>
      </w:r>
      <w:r w:rsidR="00234E21" w:rsidRPr="008D2DEC">
        <w:rPr>
          <w:sz w:val="20"/>
        </w:rPr>
        <w:t xml:space="preserve"> </w:t>
      </w:r>
      <w:r w:rsidRPr="00500F90">
        <w:rPr>
          <w:sz w:val="20"/>
        </w:rPr>
        <w:t>değiştirilmiştir.</w:t>
      </w:r>
    </w:p>
  </w:footnote>
  <w:footnote w:id="6">
    <w:p w14:paraId="1748C8C4" w14:textId="3EC817E2" w:rsidR="00AC771D" w:rsidRDefault="00AC771D" w:rsidP="0013791D">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değiştirilmiştir.</w:t>
      </w:r>
    </w:p>
  </w:footnote>
  <w:footnote w:id="7">
    <w:p w14:paraId="5E4AC4B8" w14:textId="1D491C29" w:rsidR="008A6180" w:rsidRPr="00500F90" w:rsidRDefault="008A6180"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değiştirilmiştir.</w:t>
      </w:r>
    </w:p>
  </w:footnote>
  <w:footnote w:id="8">
    <w:p w14:paraId="7569A58D" w14:textId="18CA0951" w:rsidR="008A6180" w:rsidRPr="00500F90" w:rsidRDefault="008A6180"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eklenmiştir.</w:t>
      </w:r>
    </w:p>
  </w:footnote>
  <w:footnote w:id="9">
    <w:p w14:paraId="710102D6" w14:textId="19D439A7" w:rsidR="008A6180" w:rsidRPr="00500F90" w:rsidRDefault="008A6180"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kaldırılmıştır.</w:t>
      </w:r>
    </w:p>
  </w:footnote>
  <w:footnote w:id="10">
    <w:p w14:paraId="4ED6CC3E" w14:textId="7DB46B3E" w:rsidR="008A6180" w:rsidRDefault="008A6180" w:rsidP="0013791D">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değiştirilmiştir.</w:t>
      </w:r>
    </w:p>
  </w:footnote>
  <w:footnote w:id="11">
    <w:p w14:paraId="21665425" w14:textId="0D8336D7" w:rsidR="008A6180" w:rsidRPr="00500F90" w:rsidRDefault="008A6180"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değiştirilmiştir.</w:t>
      </w:r>
    </w:p>
  </w:footnote>
  <w:footnote w:id="12">
    <w:p w14:paraId="6DB6DF50" w14:textId="7DDB9FC2" w:rsidR="0013791D" w:rsidRPr="00500F90" w:rsidRDefault="0013791D" w:rsidP="0013791D">
      <w:pPr>
        <w:pStyle w:val="FootnoteText"/>
        <w:spacing w:after="0" w:line="240" w:lineRule="auto"/>
        <w:rPr>
          <w:sz w:val="20"/>
        </w:rPr>
      </w:pPr>
      <w:r w:rsidRPr="00500F90">
        <w:rPr>
          <w:rStyle w:val="FootnoteReference"/>
          <w:sz w:val="20"/>
        </w:rPr>
        <w:footnoteRef/>
      </w:r>
      <w:r w:rsidRPr="00500F90">
        <w:rPr>
          <w:sz w:val="20"/>
        </w:rPr>
        <w:t xml:space="preserve"> 8 Nisan 2022 tarihli ve 31803 sayılı Resmi Gazetede yayımlanan </w:t>
      </w:r>
      <w:r w:rsidR="00153F41">
        <w:rPr>
          <w:sz w:val="20"/>
        </w:rPr>
        <w:t>Kurul Kararı ile</w:t>
      </w:r>
      <w:r w:rsidRPr="00500F90">
        <w:rPr>
          <w:sz w:val="20"/>
        </w:rPr>
        <w:t xml:space="preserve"> değiştirilmiştir.</w:t>
      </w:r>
    </w:p>
  </w:footnote>
  <w:footnote w:id="13">
    <w:p w14:paraId="1BA1F208" w14:textId="4C5C03A6" w:rsidR="008A6180" w:rsidRPr="00500F90" w:rsidRDefault="008A6180"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değiştirilmiştir.</w:t>
      </w:r>
    </w:p>
  </w:footnote>
  <w:footnote w:id="14">
    <w:p w14:paraId="2ECEDB06" w14:textId="77777777" w:rsidR="002B35EF" w:rsidRPr="00500F90" w:rsidRDefault="002B35EF" w:rsidP="00110FDC">
      <w:pPr>
        <w:pStyle w:val="FootnoteText"/>
        <w:spacing w:after="0" w:line="240" w:lineRule="auto"/>
        <w:rPr>
          <w:sz w:val="20"/>
        </w:rPr>
      </w:pPr>
      <w:r w:rsidRPr="00500F90">
        <w:rPr>
          <w:rStyle w:val="FootnoteReference"/>
          <w:sz w:val="20"/>
        </w:rPr>
        <w:footnoteRef/>
      </w:r>
      <w:r w:rsidRPr="00500F90">
        <w:rPr>
          <w:sz w:val="20"/>
        </w:rPr>
        <w:t xml:space="preserve"> 16 Kasım 2018 tarihli ve 30597 sayılı Resmi Gazete’de yayımlanan Kurul Kararı ile eklenmiştir.</w:t>
      </w:r>
    </w:p>
  </w:footnote>
  <w:footnote w:id="15">
    <w:p w14:paraId="50B53EE9" w14:textId="0104CF59" w:rsidR="008A6180" w:rsidRPr="00500F90" w:rsidRDefault="008A6180" w:rsidP="00110FDC">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kaldırılmıştır.</w:t>
      </w:r>
    </w:p>
  </w:footnote>
  <w:footnote w:id="16">
    <w:p w14:paraId="543B404B" w14:textId="30934D38" w:rsidR="008A6180" w:rsidRPr="00500F90" w:rsidRDefault="008A6180" w:rsidP="00110FDC">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eklenmiştir.</w:t>
      </w:r>
    </w:p>
  </w:footnote>
  <w:footnote w:id="17">
    <w:p w14:paraId="001E5A50" w14:textId="1E06268D" w:rsidR="00E24C93" w:rsidRPr="00500F90" w:rsidRDefault="00E24C93" w:rsidP="00110FDC">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değiştirilmiştir.</w:t>
      </w:r>
    </w:p>
  </w:footnote>
  <w:footnote w:id="18">
    <w:p w14:paraId="277B531B" w14:textId="6D01BFF5" w:rsidR="00E24C93" w:rsidRPr="00500F90" w:rsidRDefault="00E24C93" w:rsidP="00110FDC">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değiştirilmiştir.</w:t>
      </w:r>
    </w:p>
  </w:footnote>
  <w:footnote w:id="19">
    <w:p w14:paraId="412FF473" w14:textId="772DFC32" w:rsidR="00E24C93" w:rsidRPr="00500F90" w:rsidRDefault="00E24C93" w:rsidP="00110FDC">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kaldırılmıştır.</w:t>
      </w:r>
    </w:p>
  </w:footnote>
  <w:footnote w:id="20">
    <w:p w14:paraId="67C1A622" w14:textId="3A30F8D5" w:rsidR="00E24C93" w:rsidRPr="00500F90" w:rsidRDefault="00E24C93" w:rsidP="00110FDC">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kaldırılmıştır.</w:t>
      </w:r>
    </w:p>
  </w:footnote>
  <w:footnote w:id="21">
    <w:p w14:paraId="0B0F55B3" w14:textId="03C6E829" w:rsidR="00E24C93" w:rsidRPr="00500F90" w:rsidRDefault="00E24C93" w:rsidP="00110FDC">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eklenmiştir.</w:t>
      </w:r>
    </w:p>
  </w:footnote>
  <w:footnote w:id="22">
    <w:p w14:paraId="6657645B" w14:textId="00C52C23" w:rsidR="00E24C93" w:rsidRDefault="00E24C93" w:rsidP="00110FDC">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eklenmiştir.</w:t>
      </w:r>
    </w:p>
  </w:footnote>
  <w:footnote w:id="23">
    <w:p w14:paraId="41B1D6F8" w14:textId="273AF9E2" w:rsidR="00796130" w:rsidRDefault="00796130" w:rsidP="0013791D">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eklenmiştir.</w:t>
      </w:r>
    </w:p>
  </w:footnote>
  <w:footnote w:id="24">
    <w:p w14:paraId="5E90AEC0" w14:textId="1C910B4D" w:rsidR="00796130" w:rsidRDefault="00796130" w:rsidP="0013791D">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eklenmiştir.</w:t>
      </w:r>
    </w:p>
  </w:footnote>
  <w:footnote w:id="25">
    <w:p w14:paraId="6F8CE09A" w14:textId="036B50CC" w:rsidR="00796130" w:rsidRPr="00500F90" w:rsidRDefault="00796130"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madde numarası değiştirilmiştir.</w:t>
      </w:r>
    </w:p>
    <w:p w14:paraId="0A916085" w14:textId="47074656" w:rsidR="00796130" w:rsidRPr="00500F90" w:rsidRDefault="00796130" w:rsidP="0013791D">
      <w:pPr>
        <w:pStyle w:val="FootnoteText"/>
        <w:spacing w:after="0" w:line="240" w:lineRule="auto"/>
        <w:rPr>
          <w:sz w:val="20"/>
        </w:rPr>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madde numarası </w:t>
      </w:r>
      <w:r w:rsidR="006149CD" w:rsidRPr="00500F90">
        <w:rPr>
          <w:sz w:val="20"/>
        </w:rPr>
        <w:t>teselsül ettirilmiştir</w:t>
      </w:r>
      <w:r w:rsidRPr="00500F90">
        <w:rPr>
          <w:sz w:val="20"/>
        </w:rPr>
        <w:t>.</w:t>
      </w:r>
    </w:p>
  </w:footnote>
  <w:footnote w:id="26">
    <w:p w14:paraId="06308970" w14:textId="7D22377A" w:rsidR="00796130" w:rsidRDefault="00796130" w:rsidP="0013791D">
      <w:pPr>
        <w:pStyle w:val="FootnoteText"/>
        <w:spacing w:after="0" w:line="240" w:lineRule="auto"/>
      </w:pPr>
      <w:r w:rsidRPr="00500F90">
        <w:rPr>
          <w:rStyle w:val="FootnoteReference"/>
          <w:sz w:val="20"/>
        </w:rPr>
        <w:footnoteRef/>
      </w:r>
      <w:r w:rsidRPr="00500F90">
        <w:rPr>
          <w:sz w:val="20"/>
        </w:rPr>
        <w:t xml:space="preserve">  9 Ağustos 2019 tarihli ve 30857 sayılı Resmi Gazetede yayımlanan </w:t>
      </w:r>
      <w:r w:rsidR="00153F41">
        <w:rPr>
          <w:sz w:val="20"/>
        </w:rPr>
        <w:t>Kurul Kararı ile</w:t>
      </w:r>
      <w:r w:rsidRPr="00500F90">
        <w:rPr>
          <w:sz w:val="20"/>
        </w:rPr>
        <w:t xml:space="preserve"> madde numarası </w:t>
      </w:r>
      <w:r w:rsidR="006149CD" w:rsidRPr="00500F90">
        <w:rPr>
          <w:sz w:val="20"/>
        </w:rPr>
        <w:t>teselsül ettirilmiştir</w:t>
      </w:r>
      <w:r w:rsidRPr="00500F90">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F6F9E"/>
    <w:multiLevelType w:val="hybridMultilevel"/>
    <w:tmpl w:val="F9FE1C4E"/>
    <w:lvl w:ilvl="0" w:tplc="98E074D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60"/>
    <w:rsid w:val="000134B0"/>
    <w:rsid w:val="00110FDC"/>
    <w:rsid w:val="0013791D"/>
    <w:rsid w:val="00153F41"/>
    <w:rsid w:val="00155BFD"/>
    <w:rsid w:val="001C6F06"/>
    <w:rsid w:val="001D33A6"/>
    <w:rsid w:val="001E21C6"/>
    <w:rsid w:val="001E6F73"/>
    <w:rsid w:val="00234E21"/>
    <w:rsid w:val="00295D8D"/>
    <w:rsid w:val="002B35EF"/>
    <w:rsid w:val="002B62BA"/>
    <w:rsid w:val="002D0198"/>
    <w:rsid w:val="00321E5E"/>
    <w:rsid w:val="003A2E7D"/>
    <w:rsid w:val="003B0A6C"/>
    <w:rsid w:val="0041542D"/>
    <w:rsid w:val="00446B03"/>
    <w:rsid w:val="004814A7"/>
    <w:rsid w:val="0048440D"/>
    <w:rsid w:val="00500F90"/>
    <w:rsid w:val="00604B5F"/>
    <w:rsid w:val="006146CA"/>
    <w:rsid w:val="006149CD"/>
    <w:rsid w:val="006E0F0B"/>
    <w:rsid w:val="006F7030"/>
    <w:rsid w:val="00746B46"/>
    <w:rsid w:val="00796130"/>
    <w:rsid w:val="00844A93"/>
    <w:rsid w:val="00850F05"/>
    <w:rsid w:val="008A6180"/>
    <w:rsid w:val="00914EB4"/>
    <w:rsid w:val="00916883"/>
    <w:rsid w:val="0093183F"/>
    <w:rsid w:val="009C730F"/>
    <w:rsid w:val="00A13D31"/>
    <w:rsid w:val="00A85B1B"/>
    <w:rsid w:val="00AC771D"/>
    <w:rsid w:val="00B07FCC"/>
    <w:rsid w:val="00BB5810"/>
    <w:rsid w:val="00CB536F"/>
    <w:rsid w:val="00D817DA"/>
    <w:rsid w:val="00E24C93"/>
    <w:rsid w:val="00E57D60"/>
    <w:rsid w:val="00EE0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1354"/>
  <w15:docId w15:val="{2B066D30-7128-46DF-8E52-F9820D69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F73"/>
    <w:pPr>
      <w:spacing w:after="200"/>
      <w:jc w:val="left"/>
    </w:pPr>
    <w:rPr>
      <w:rFonts w:ascii="Calibri" w:eastAsia="Calibri" w:hAnsi="Calibri"/>
      <w:sz w:val="22"/>
      <w:szCs w:val="22"/>
    </w:rPr>
  </w:style>
  <w:style w:type="paragraph" w:styleId="Heading2">
    <w:name w:val="heading 2"/>
    <w:basedOn w:val="Normal"/>
    <w:next w:val="Normal"/>
    <w:link w:val="Heading2Char"/>
    <w:uiPriority w:val="9"/>
    <w:semiHidden/>
    <w:unhideWhenUsed/>
    <w:qFormat/>
    <w:rsid w:val="001E6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3D31"/>
    <w:rPr>
      <w:rFonts w:ascii="Times New Roman" w:eastAsiaTheme="minorHAnsi" w:hAnsi="Times New Roman"/>
      <w:sz w:val="16"/>
      <w:szCs w:val="24"/>
    </w:rPr>
  </w:style>
  <w:style w:type="character" w:customStyle="1" w:styleId="FootnoteTextChar">
    <w:name w:val="Footnote Text Char"/>
    <w:basedOn w:val="DefaultParagraphFont"/>
    <w:link w:val="FootnoteText"/>
    <w:uiPriority w:val="99"/>
    <w:semiHidden/>
    <w:rsid w:val="00A13D31"/>
    <w:rPr>
      <w:sz w:val="16"/>
    </w:rPr>
  </w:style>
  <w:style w:type="paragraph" w:customStyle="1" w:styleId="MaddeUstBaslik">
    <w:name w:val="Madde Ust Baslik"/>
    <w:basedOn w:val="Heading2"/>
    <w:next w:val="Normal"/>
    <w:rsid w:val="001E6F73"/>
    <w:pPr>
      <w:keepLines w:val="0"/>
      <w:spacing w:before="0" w:line="240" w:lineRule="auto"/>
      <w:jc w:val="center"/>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semiHidden/>
    <w:unhideWhenUsed/>
    <w:rsid w:val="001E6F73"/>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1E6F73"/>
    <w:rPr>
      <w:rFonts w:ascii="Calibri" w:hAnsi="Calibri" w:cs="Consolas"/>
      <w:sz w:val="22"/>
      <w:szCs w:val="21"/>
    </w:rPr>
  </w:style>
  <w:style w:type="character" w:customStyle="1" w:styleId="Heading2Char">
    <w:name w:val="Heading 2 Char"/>
    <w:basedOn w:val="DefaultParagraphFont"/>
    <w:link w:val="Heading2"/>
    <w:uiPriority w:val="9"/>
    <w:semiHidden/>
    <w:rsid w:val="001E6F7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21E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1E5E"/>
    <w:rPr>
      <w:rFonts w:ascii="Calibri" w:eastAsia="Calibri" w:hAnsi="Calibri"/>
      <w:sz w:val="22"/>
      <w:szCs w:val="22"/>
    </w:rPr>
  </w:style>
  <w:style w:type="paragraph" w:styleId="Footer">
    <w:name w:val="footer"/>
    <w:basedOn w:val="Normal"/>
    <w:link w:val="FooterChar"/>
    <w:uiPriority w:val="99"/>
    <w:unhideWhenUsed/>
    <w:rsid w:val="00321E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1E5E"/>
    <w:rPr>
      <w:rFonts w:ascii="Calibri" w:eastAsia="Calibri" w:hAnsi="Calibri"/>
      <w:sz w:val="22"/>
      <w:szCs w:val="22"/>
    </w:rPr>
  </w:style>
  <w:style w:type="character" w:styleId="CommentReference">
    <w:name w:val="annotation reference"/>
    <w:basedOn w:val="DefaultParagraphFont"/>
    <w:uiPriority w:val="99"/>
    <w:semiHidden/>
    <w:unhideWhenUsed/>
    <w:rsid w:val="00BB5810"/>
    <w:rPr>
      <w:sz w:val="16"/>
      <w:szCs w:val="16"/>
    </w:rPr>
  </w:style>
  <w:style w:type="paragraph" w:styleId="CommentText">
    <w:name w:val="annotation text"/>
    <w:basedOn w:val="Normal"/>
    <w:link w:val="CommentTextChar"/>
    <w:uiPriority w:val="99"/>
    <w:unhideWhenUsed/>
    <w:rsid w:val="00BB5810"/>
    <w:pPr>
      <w:spacing w:line="240" w:lineRule="auto"/>
    </w:pPr>
    <w:rPr>
      <w:sz w:val="20"/>
      <w:szCs w:val="20"/>
    </w:rPr>
  </w:style>
  <w:style w:type="character" w:customStyle="1" w:styleId="CommentTextChar">
    <w:name w:val="Comment Text Char"/>
    <w:basedOn w:val="DefaultParagraphFont"/>
    <w:link w:val="CommentText"/>
    <w:uiPriority w:val="99"/>
    <w:rsid w:val="00BB581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BB5810"/>
    <w:rPr>
      <w:b/>
      <w:bCs/>
    </w:rPr>
  </w:style>
  <w:style w:type="character" w:customStyle="1" w:styleId="CommentSubjectChar">
    <w:name w:val="Comment Subject Char"/>
    <w:basedOn w:val="CommentTextChar"/>
    <w:link w:val="CommentSubject"/>
    <w:uiPriority w:val="99"/>
    <w:semiHidden/>
    <w:rsid w:val="00BB5810"/>
    <w:rPr>
      <w:rFonts w:ascii="Calibri" w:eastAsia="Calibri" w:hAnsi="Calibri"/>
      <w:b/>
      <w:bCs/>
      <w:sz w:val="20"/>
      <w:szCs w:val="20"/>
    </w:rPr>
  </w:style>
  <w:style w:type="paragraph" w:styleId="BalloonText">
    <w:name w:val="Balloon Text"/>
    <w:basedOn w:val="Normal"/>
    <w:link w:val="BalloonTextChar"/>
    <w:uiPriority w:val="99"/>
    <w:semiHidden/>
    <w:unhideWhenUsed/>
    <w:rsid w:val="00BB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810"/>
    <w:rPr>
      <w:rFonts w:ascii="Tahoma" w:eastAsia="Calibri" w:hAnsi="Tahoma" w:cs="Tahoma"/>
      <w:sz w:val="16"/>
      <w:szCs w:val="16"/>
    </w:rPr>
  </w:style>
  <w:style w:type="character" w:styleId="FootnoteReference">
    <w:name w:val="footnote reference"/>
    <w:basedOn w:val="DefaultParagraphFont"/>
    <w:uiPriority w:val="99"/>
    <w:semiHidden/>
    <w:unhideWhenUsed/>
    <w:rsid w:val="00BB5810"/>
    <w:rPr>
      <w:vertAlign w:val="superscript"/>
    </w:rPr>
  </w:style>
  <w:style w:type="paragraph" w:customStyle="1" w:styleId="3-normalyaz">
    <w:name w:val="3-normalyaz"/>
    <w:basedOn w:val="Normal"/>
    <w:rsid w:val="00850F05"/>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5B10-6DB1-47AB-B911-200207C1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2910</Words>
  <Characters>16591</Characters>
  <Application>Microsoft Office Word</Application>
  <DocSecurity>0</DocSecurity>
  <Lines>138</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EPDK</Company>
  <LinksUpToDate>false</LinksUpToDate>
  <CharactersWithSpaces>19463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 ÇAKMAK</dc:creator>
  <cp:lastModifiedBy>Behlül Ayar</cp:lastModifiedBy>
  <cp:revision>4</cp:revision>
  <dcterms:created xsi:type="dcterms:W3CDTF">2022-09-05T15:12:00Z</dcterms:created>
  <dcterms:modified xsi:type="dcterms:W3CDTF">2022-09-06T08:03:00Z</dcterms:modified>
</cp:coreProperties>
</file>