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xml:space="preserve">, Elektrik Piyasası Dengeleme ve Uzlaştırma Yönetmeliği’nin 124 ve Geçici </w:t>
      </w:r>
      <w:proofErr w:type="gramStart"/>
      <w:r>
        <w:rPr>
          <w:rFonts w:ascii="Times New Roman" w:hAnsi="Times New Roman" w:cs="Times New Roman"/>
          <w:sz w:val="24"/>
          <w:szCs w:val="24"/>
        </w:rPr>
        <w:t>33 üncü</w:t>
      </w:r>
      <w:proofErr w:type="gramEnd"/>
      <w:r>
        <w:rPr>
          <w:rFonts w:ascii="Times New Roman" w:hAnsi="Times New Roman" w:cs="Times New Roman"/>
          <w:sz w:val="24"/>
          <w:szCs w:val="24"/>
        </w:rPr>
        <w:t xml:space="preserve">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4B1C53B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w:t>
      </w:r>
      <w:r w:rsidR="0058249C">
        <w:rPr>
          <w:rFonts w:ascii="Times New Roman" w:hAnsi="Times New Roman" w:cs="Times New Roman"/>
          <w:sz w:val="24"/>
          <w:szCs w:val="24"/>
        </w:rPr>
        <w:t>, toplayıcı, dağıtım ve iletim</w:t>
      </w:r>
      <w:r>
        <w:rPr>
          <w:rFonts w:ascii="Times New Roman" w:hAnsi="Times New Roman" w:cs="Times New Roman"/>
          <w:sz w:val="24"/>
          <w:szCs w:val="24"/>
        </w:rPr>
        <w:t xml:space="preserve"> lisansı sahibi bir piyasa </w:t>
      </w:r>
      <w:proofErr w:type="gramStart"/>
      <w:r>
        <w:rPr>
          <w:rFonts w:ascii="Times New Roman" w:hAnsi="Times New Roman" w:cs="Times New Roman"/>
          <w:sz w:val="24"/>
          <w:szCs w:val="24"/>
        </w:rPr>
        <w:t>katılımcısının</w:t>
      </w:r>
      <w:proofErr w:type="gramEnd"/>
      <w:r>
        <w:rPr>
          <w:rFonts w:ascii="Times New Roman" w:hAnsi="Times New Roman" w:cs="Times New Roman"/>
          <w:sz w:val="24"/>
          <w:szCs w:val="24"/>
        </w:rPr>
        <w:t xml:space="preserve"> sunması gereken toplam teminatın hesaplanmasında kullanılacak olan başlangıç teminatı tutarı </w:t>
      </w:r>
      <w:r w:rsidR="0058249C">
        <w:rPr>
          <w:rFonts w:ascii="Times New Roman" w:hAnsi="Times New Roman" w:cs="Times New Roman"/>
          <w:sz w:val="24"/>
          <w:szCs w:val="24"/>
        </w:rPr>
        <w:t>1.5</w:t>
      </w:r>
      <w:r>
        <w:rPr>
          <w:rFonts w:ascii="Times New Roman" w:hAnsi="Times New Roman" w:cs="Times New Roman"/>
          <w:sz w:val="24"/>
          <w:szCs w:val="24"/>
        </w:rPr>
        <w:t>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246767FD"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w:t>
      </w:r>
      <w:r w:rsidR="0058249C">
        <w:rPr>
          <w:rFonts w:ascii="Times New Roman" w:hAnsi="Times New Roman" w:cs="Times New Roman"/>
          <w:sz w:val="24"/>
          <w:szCs w:val="24"/>
        </w:rPr>
        <w:t>5</w:t>
      </w:r>
      <w:r>
        <w:rPr>
          <w:rFonts w:ascii="Times New Roman" w:hAnsi="Times New Roman" w:cs="Times New Roman"/>
          <w:sz w:val="24"/>
          <w:szCs w:val="24"/>
        </w:rPr>
        <w:t>00</w:t>
      </w:r>
      <w:r w:rsidR="0058249C">
        <w:rPr>
          <w:rFonts w:ascii="Times New Roman" w:hAnsi="Times New Roman" w:cs="Times New Roman"/>
          <w:sz w:val="24"/>
          <w:szCs w:val="24"/>
        </w:rPr>
        <w:t xml:space="preserve"> TL/</w:t>
      </w:r>
      <w:r>
        <w:rPr>
          <w:rFonts w:ascii="Times New Roman" w:hAnsi="Times New Roman" w:cs="Times New Roman"/>
          <w:sz w:val="24"/>
          <w:szCs w:val="24"/>
        </w:rPr>
        <w:t>MW</w:t>
      </w:r>
      <w:r w:rsidR="0058249C">
        <w:rPr>
          <w:rFonts w:ascii="Times New Roman" w:hAnsi="Times New Roman" w:cs="Times New Roman"/>
          <w:sz w:val="24"/>
          <w:szCs w:val="24"/>
        </w:rPr>
        <w:t xml:space="preserve"> ile çarpılması suretiyle</w:t>
      </w:r>
      <w:r>
        <w:rPr>
          <w:rFonts w:ascii="Times New Roman" w:hAnsi="Times New Roman" w:cs="Times New Roman"/>
          <w:sz w:val="24"/>
          <w:szCs w:val="24"/>
        </w:rPr>
        <w:t xml:space="preserve"> </w:t>
      </w:r>
      <w:r w:rsidR="0058249C">
        <w:rPr>
          <w:rFonts w:ascii="Times New Roman" w:hAnsi="Times New Roman" w:cs="Times New Roman"/>
          <w:sz w:val="24"/>
          <w:szCs w:val="24"/>
        </w:rPr>
        <w:t>hesaplanır.</w:t>
      </w:r>
    </w:p>
    <w:p w14:paraId="096D4EBA" w14:textId="0FA44C35"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w:t>
      </w:r>
      <w:r w:rsidR="0058249C">
        <w:rPr>
          <w:rFonts w:ascii="Times New Roman" w:hAnsi="Times New Roman" w:cs="Times New Roman"/>
          <w:sz w:val="24"/>
          <w:szCs w:val="24"/>
        </w:rPr>
        <w:t xml:space="preserve"> üzerinden hesaplanan başlangıç teminatı en az 100.000 TL en fazla 1.500.000 TL’dir.</w:t>
      </w:r>
      <w:r>
        <w:rPr>
          <w:rFonts w:ascii="Times New Roman" w:hAnsi="Times New Roman" w:cs="Times New Roman"/>
          <w:sz w:val="24"/>
          <w:szCs w:val="24"/>
        </w:rPr>
        <w:t xml:space="preserve"> </w:t>
      </w:r>
    </w:p>
    <w:p w14:paraId="4AF1F86D" w14:textId="236BAFE7" w:rsidR="008A60EC" w:rsidRPr="0058249C" w:rsidRDefault="008A60EC" w:rsidP="0058249C">
      <w:pPr>
        <w:tabs>
          <w:tab w:val="left" w:pos="-5103"/>
        </w:tabs>
        <w:spacing w:line="240" w:lineRule="auto"/>
        <w:ind w:firstLine="567"/>
        <w:rPr>
          <w:color w:val="000000" w:themeColor="text1"/>
        </w:rPr>
      </w:pPr>
      <w:r>
        <w:rPr>
          <w:rFonts w:ascii="Times New Roman" w:hAnsi="Times New Roman" w:cs="Times New Roman"/>
          <w:sz w:val="24"/>
          <w:szCs w:val="24"/>
        </w:rPr>
        <w:t xml:space="preserve">(3) </w:t>
      </w:r>
      <w:r w:rsidR="0058249C" w:rsidRPr="0058249C">
        <w:rPr>
          <w:rFonts w:ascii="Times New Roman" w:hAnsi="Times New Roman" w:cs="Times New Roman"/>
          <w:color w:val="000000" w:themeColor="text1"/>
          <w:sz w:val="24"/>
          <w:szCs w:val="24"/>
        </w:rPr>
        <w:t>Bu maddede yer alan tutarlar, bir önceki yılın ağırlıklı PTF ortalamasının ilgili yıldan iki önceki yıla ait ağırlıklı PTF ortalamasına göre artış göstermesi halinde, söz konusu artış oranında güncellenir. Bu güncelleme, her yıl güncel tutarlara yeniden uygulanır. Güncellenen tutarlar, ilgili yılın</w:t>
      </w:r>
      <w:r w:rsidR="0058249C">
        <w:rPr>
          <w:rFonts w:ascii="Times New Roman" w:hAnsi="Times New Roman" w:cs="Times New Roman"/>
          <w:color w:val="000000" w:themeColor="text1"/>
          <w:sz w:val="24"/>
          <w:szCs w:val="24"/>
        </w:rPr>
        <w:t xml:space="preserve"> </w:t>
      </w:r>
      <w:proofErr w:type="gramStart"/>
      <w:r w:rsidR="0058249C" w:rsidRPr="0058249C">
        <w:rPr>
          <w:rFonts w:ascii="Times New Roman" w:hAnsi="Times New Roman" w:cs="Times New Roman"/>
          <w:color w:val="000000" w:themeColor="text1"/>
          <w:sz w:val="24"/>
          <w:szCs w:val="24"/>
        </w:rPr>
        <w:t>Şubat</w:t>
      </w:r>
      <w:proofErr w:type="gramEnd"/>
      <w:r w:rsidR="0058249C" w:rsidRPr="0058249C">
        <w:rPr>
          <w:rFonts w:ascii="Times New Roman" w:hAnsi="Times New Roman" w:cs="Times New Roman"/>
          <w:color w:val="000000" w:themeColor="text1"/>
          <w:sz w:val="24"/>
          <w:szCs w:val="24"/>
        </w:rPr>
        <w:t xml:space="preserve"> ayının ilk iş gününden itibaren yapılacak olan teminat hesaplamalarında kullanılır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b</w:t>
      </w:r>
      <w:r w:rsidR="008A60EC">
        <w:rPr>
          <w:rFonts w:ascii="Times New Roman" w:hAnsi="Times New Roman" w:cs="Times New Roman"/>
          <w:sz w:val="24"/>
          <w:szCs w:val="24"/>
        </w:rPr>
        <w:t>) Hesaplama yapılırken, son 30 günde sıfırdan farklı ticari işlem onayı olan gün sayısının “k” dan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proofErr w:type="gram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213F93"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213F93"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 xml:space="preserve">9 uncu madde uyarınca hesaplanan, p piyasa katılımcısının, g günü için YEK </w:t>
      </w:r>
      <w:proofErr w:type="gramStart"/>
      <w:r>
        <w:rPr>
          <w:rFonts w:ascii="Times New Roman" w:hAnsi="Times New Roman" w:cs="Times New Roman"/>
          <w:sz w:val="24"/>
          <w:szCs w:val="24"/>
        </w:rPr>
        <w:t>teminatını(</w:t>
      </w:r>
      <w:proofErr w:type="gramEnd"/>
      <w:r>
        <w:rPr>
          <w:rFonts w:ascii="Times New Roman" w:hAnsi="Times New Roman" w:cs="Times New Roman"/>
          <w:sz w:val="24"/>
          <w:szCs w:val="24"/>
        </w:rPr>
        <w:t>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proofErr w:type="gram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w:t>
      </w:r>
      <w:r w:rsidRPr="00747F89">
        <w:rPr>
          <w:rFonts w:ascii="Times New Roman" w:hAnsi="Times New Roman" w:cs="Times New Roman"/>
          <w:sz w:val="24"/>
          <w:szCs w:val="24"/>
        </w:rPr>
        <w:lastRenderedPageBreak/>
        <w:t>kurumun piyasa katılımcılarının portföylerinde yer alan tüketim tesislerinin gerçekleşen 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213F93"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213F93"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213F93"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213F93"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53869D1B" w14:textId="419754BA"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 xml:space="preserve">isk döneminde yer alan i ayı için, f dengeden sorumlu tarafın, t teklif bölgesindeki, u uzlaştırma dönemine ait </w:t>
      </w:r>
      <w:r w:rsidR="0058249C">
        <w:rPr>
          <w:rFonts w:ascii="Times New Roman" w:hAnsi="Times New Roman" w:cs="Times New Roman"/>
          <w:sz w:val="24"/>
          <w:szCs w:val="24"/>
        </w:rPr>
        <w:t xml:space="preserve">net toplam </w:t>
      </w:r>
      <w:r>
        <w:rPr>
          <w:rFonts w:ascii="Times New Roman" w:hAnsi="Times New Roman" w:cs="Times New Roman"/>
          <w:sz w:val="24"/>
          <w:szCs w:val="24"/>
        </w:rPr>
        <w:t>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w:t>
      </w:r>
      <w:proofErr w:type="spellStart"/>
      <w:r w:rsidR="008A60EC">
        <w:rPr>
          <w:rFonts w:ascii="Times New Roman" w:hAnsi="Times New Roman" w:cs="Times New Roman"/>
          <w:sz w:val="24"/>
          <w:szCs w:val="24"/>
        </w:rPr>
        <w:t>MWh</w:t>
      </w:r>
      <w:proofErr w:type="spellEnd"/>
      <w:r w:rsidR="008A60EC">
        <w:rPr>
          <w:rFonts w:ascii="Times New Roman" w:hAnsi="Times New Roman" w:cs="Times New Roman"/>
          <w:sz w:val="24"/>
          <w:szCs w:val="24"/>
        </w:rPr>
        <w:t>),</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lastRenderedPageBreak/>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w:t>
      </w:r>
      <w:r>
        <w:rPr>
          <w:rFonts w:ascii="Times New Roman" w:hAnsi="Times New Roman" w:cs="Times New Roman"/>
          <w:sz w:val="24"/>
          <w:szCs w:val="24"/>
        </w:rPr>
        <w:lastRenderedPageBreak/>
        <w:t xml:space="preserve">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D290632" w14:textId="77777777" w:rsidR="0058249C" w:rsidRDefault="008A60EC" w:rsidP="00E372D8">
      <w:pPr>
        <w:pStyle w:val="TEIASText"/>
        <w:spacing w:before="0"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Bu doğrultuda dengeden sorumlu tarafın dengesizliğe ilişkin riskinin değiştiğinin tespit edilmesi durumunda</w:t>
      </w:r>
      <w:r w:rsidR="0058249C">
        <w:rPr>
          <w:rFonts w:ascii="Times New Roman" w:hAnsi="Times New Roman" w:cs="Times New Roman"/>
          <w:sz w:val="24"/>
          <w:szCs w:val="24"/>
        </w:rPr>
        <w:t xml:space="preserve"> söz konusu dengesizlik miktarı ile;</w:t>
      </w:r>
      <w:r>
        <w:rPr>
          <w:rFonts w:ascii="Times New Roman" w:hAnsi="Times New Roman" w:cs="Times New Roman"/>
          <w:sz w:val="24"/>
          <w:szCs w:val="24"/>
        </w:rPr>
        <w:t xml:space="preserve"> </w:t>
      </w:r>
    </w:p>
    <w:p w14:paraId="049148E4" w14:textId="77777777" w:rsidR="0058249C" w:rsidRDefault="0058249C" w:rsidP="00E372D8">
      <w:pPr>
        <w:pStyle w:val="TEIASText"/>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8A60EC">
        <w:rPr>
          <w:rFonts w:ascii="Times New Roman" w:hAnsi="Times New Roman" w:cs="Times New Roman"/>
          <w:sz w:val="24"/>
          <w:szCs w:val="24"/>
        </w:rPr>
        <w:t xml:space="preserve">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w:t>
      </w:r>
      <w:r>
        <w:rPr>
          <w:rFonts w:ascii="Times New Roman" w:hAnsi="Times New Roman" w:cs="Times New Roman"/>
          <w:sz w:val="24"/>
          <w:szCs w:val="24"/>
        </w:rPr>
        <w:t>,</w:t>
      </w:r>
      <w:r w:rsidR="0064386F">
        <w:rPr>
          <w:rFonts w:ascii="Times New Roman" w:hAnsi="Times New Roman" w:cs="Times New Roman"/>
          <w:sz w:val="24"/>
          <w:szCs w:val="24"/>
        </w:rPr>
        <w:t xml:space="preserve"> </w:t>
      </w:r>
    </w:p>
    <w:p w14:paraId="5E5DD5B1" w14:textId="77777777" w:rsidR="0058249C" w:rsidRDefault="0058249C" w:rsidP="00E372D8">
      <w:pPr>
        <w:pStyle w:val="TEIASText"/>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64386F">
        <w:rPr>
          <w:rFonts w:ascii="Times New Roman" w:hAnsi="Times New Roman" w:cs="Times New Roman"/>
          <w:sz w:val="24"/>
          <w:szCs w:val="24"/>
        </w:rPr>
        <w:t xml:space="preserve">öngörülen dengesizlik miktarı negatif ise hesaplamanın yapıldığı güne ait negatif dengesizlik fiyatlarının aritmetik ortalamasının </w:t>
      </w:r>
    </w:p>
    <w:p w14:paraId="0725DC95" w14:textId="5465BF04" w:rsidR="008A60EC" w:rsidRDefault="008A60EC" w:rsidP="0058249C">
      <w:pPr>
        <w:pStyle w:val="TEIASText"/>
        <w:spacing w:before="0" w:after="0" w:line="240" w:lineRule="auto"/>
      </w:pPr>
      <w:proofErr w:type="gramStart"/>
      <w:r>
        <w:rPr>
          <w:rFonts w:ascii="Times New Roman" w:hAnsi="Times New Roman" w:cs="Times New Roman"/>
          <w:sz w:val="24"/>
          <w:szCs w:val="24"/>
        </w:rPr>
        <w:t>çarpılması</w:t>
      </w:r>
      <w:proofErr w:type="gramEnd"/>
      <w:r>
        <w:rPr>
          <w:rFonts w:ascii="Times New Roman" w:hAnsi="Times New Roman" w:cs="Times New Roman"/>
          <w:sz w:val="24"/>
          <w:szCs w:val="24"/>
        </w:rPr>
        <w:t xml:space="preserve"> neticesinde elde edilen tutara göre risk teminat hesabı yapılır.</w:t>
      </w:r>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0AD9ED11" w:rsidR="00F51DDE"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65685DAB" w14:textId="16753DF5" w:rsidR="00681C89" w:rsidRPr="00681C89" w:rsidRDefault="00681C89" w:rsidP="00681C89">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(9) Bu madde kapsamında hesaplanan öngörülen dengesizlik miktarının negatif olması durumunda; öngörülen dengesizlik miktarının ilgili güne ait satış miktarları ile günlük bazda belirlenen ve artış ve/veya azalış yönünde bölgesel mevsimsellik katsayısı uygulanan toplam tüketim değeri toplamının yüzde 35’ine eşit veya daha büyük olması halinde ikinci fıkranın (ç) bendi kapsamında ilgili gün için hesaplanan günlük risk tutarı yüzde elli oranında arttırılır.</w:t>
      </w: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50DBCDF4" w:rsidR="008A60EC" w:rsidRDefault="008A60EC" w:rsidP="00E372D8">
      <w:pPr>
        <w:tabs>
          <w:tab w:val="left" w:pos="540"/>
          <w:tab w:val="left" w:pos="566"/>
        </w:tabs>
        <w:spacing w:line="240" w:lineRule="auto"/>
        <w:ind w:firstLine="567"/>
      </w:pPr>
      <w:r>
        <w:rPr>
          <w:rFonts w:ascii="Times New Roman" w:hAnsi="Times New Roman" w:cs="Times New Roman"/>
          <w:sz w:val="24"/>
          <w:szCs w:val="24"/>
        </w:rPr>
        <w:lastRenderedPageBreak/>
        <w:t xml:space="preserve">(2)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1CDC57D6"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w:t>
      </w:r>
      <w:r w:rsidR="005672B3">
        <w:rPr>
          <w:rFonts w:ascii="Times New Roman" w:hAnsi="Times New Roman" w:cs="Times New Roman"/>
          <w:sz w:val="24"/>
          <w:szCs w:val="24"/>
        </w:rPr>
        <w:t xml:space="preserve">ve güncel tutulması gereken tahmini yıllık toplam </w:t>
      </w:r>
      <w:r>
        <w:rPr>
          <w:rFonts w:ascii="Times New Roman" w:hAnsi="Times New Roman" w:cs="Times New Roman"/>
          <w:sz w:val="24"/>
          <w:szCs w:val="24"/>
        </w:rPr>
        <w:t>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C51970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Pr>
          <w:rFonts w:ascii="Times New Roman" w:hAnsi="Times New Roman" w:cs="Times New Roman"/>
          <w:sz w:val="24"/>
          <w:szCs w:val="24"/>
        </w:rPr>
        <w:tab/>
        <w:t>Risk teminatı günlük bazda,</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lastRenderedPageBreak/>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Vurgu"/>
          <w:rFonts w:ascii="Times New Roman" w:hAnsi="Times New Roman"/>
          <w:i w:val="0"/>
          <w:sz w:val="24"/>
          <w:szCs w:val="24"/>
        </w:rPr>
      </w:pPr>
    </w:p>
    <w:p w14:paraId="14F50269" w14:textId="77777777" w:rsidR="009A7E84" w:rsidRDefault="009A7E84" w:rsidP="00744615">
      <w:pPr>
        <w:spacing w:line="240" w:lineRule="auto"/>
        <w:rPr>
          <w:rStyle w:val="Vurgu"/>
          <w:rFonts w:ascii="Times New Roman" w:hAnsi="Times New Roman"/>
          <w:i w:val="0"/>
          <w:sz w:val="24"/>
          <w:szCs w:val="24"/>
        </w:rPr>
      </w:pPr>
    </w:p>
    <w:p w14:paraId="166A384F" w14:textId="77777777" w:rsidR="009A7E84" w:rsidRDefault="009A7E84" w:rsidP="00744615">
      <w:pPr>
        <w:spacing w:line="240" w:lineRule="auto"/>
        <w:rPr>
          <w:rStyle w:val="Vurgu"/>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Vurgu"/>
          <w:rFonts w:ascii="Times New Roman" w:hAnsi="Times New Roman"/>
          <w:b/>
          <w:i w:val="0"/>
          <w:sz w:val="24"/>
          <w:szCs w:val="24"/>
        </w:rPr>
        <w:t>Yürürlükten kaldırılan prosedür</w:t>
      </w:r>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w:t>
      </w:r>
      <w:proofErr w:type="gramStart"/>
      <w:r w:rsidRPr="00BB3776">
        <w:rPr>
          <w:rFonts w:ascii="Times New Roman" w:hAnsi="Times New Roman" w:cs="Times New Roman"/>
          <w:bCs/>
          <w:sz w:val="24"/>
          <w:szCs w:val="24"/>
        </w:rPr>
        <w:t xml:space="preserve">7 </w:t>
      </w:r>
      <w:proofErr w:type="spellStart"/>
      <w:r w:rsidRPr="00BB3776">
        <w:rPr>
          <w:rFonts w:ascii="Times New Roman" w:hAnsi="Times New Roman" w:cs="Times New Roman"/>
          <w:bCs/>
          <w:sz w:val="24"/>
          <w:szCs w:val="24"/>
        </w:rPr>
        <w:t>nci</w:t>
      </w:r>
      <w:proofErr w:type="spellEnd"/>
      <w:proofErr w:type="gram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w:t>
      </w:r>
      <w:proofErr w:type="spellStart"/>
      <w:r>
        <w:rPr>
          <w:rFonts w:ascii="Times New Roman" w:hAnsi="Times New Roman" w:cs="Times New Roman"/>
          <w:bCs/>
          <w:sz w:val="24"/>
          <w:szCs w:val="24"/>
        </w:rPr>
        <w:t>MWh</w:t>
      </w:r>
      <w:proofErr w:type="spellEnd"/>
      <w:r>
        <w:rPr>
          <w:rFonts w:ascii="Times New Roman" w:hAnsi="Times New Roman" w:cs="Times New Roman"/>
          <w:bCs/>
          <w:sz w:val="24"/>
          <w:szCs w:val="24"/>
        </w:rPr>
        <w:t>)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608C9696" w:rsidR="00BD0CE3" w:rsidRDefault="00BD0CE3" w:rsidP="00BD0CE3">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5672B3">
        <w:rPr>
          <w:rFonts w:ascii="Times New Roman" w:hAnsi="Times New Roman" w:cs="Times New Roman"/>
          <w:sz w:val="24"/>
          <w:szCs w:val="24"/>
        </w:rPr>
        <w:t>6</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w:t>
      </w:r>
      <w:proofErr w:type="gramStart"/>
      <w:r w:rsidR="00091729">
        <w:rPr>
          <w:rFonts w:ascii="Times New Roman" w:hAnsi="Times New Roman" w:cs="Times New Roman"/>
          <w:bCs/>
          <w:sz w:val="24"/>
          <w:szCs w:val="24"/>
        </w:rPr>
        <w:t xml:space="preserve">6 </w:t>
      </w:r>
      <w:proofErr w:type="spellStart"/>
      <w:r w:rsidR="00091729">
        <w:rPr>
          <w:rFonts w:ascii="Times New Roman" w:hAnsi="Times New Roman" w:cs="Times New Roman"/>
          <w:bCs/>
          <w:sz w:val="24"/>
          <w:szCs w:val="24"/>
        </w:rPr>
        <w:t>ncı</w:t>
      </w:r>
      <w:proofErr w:type="spellEnd"/>
      <w:proofErr w:type="gram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9/2/2023 tarihli ve 11629 sayılı Kurul Kararının </w:t>
      </w:r>
      <w:proofErr w:type="gramStart"/>
      <w:r w:rsidR="00633BEF">
        <w:rPr>
          <w:rFonts w:ascii="Times New Roman" w:hAnsi="Times New Roman"/>
          <w:color w:val="000000" w:themeColor="text1"/>
          <w:sz w:val="24"/>
          <w:szCs w:val="24"/>
        </w:rPr>
        <w:t>3 üncü</w:t>
      </w:r>
      <w:proofErr w:type="gramEnd"/>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w:t>
      </w:r>
      <w:proofErr w:type="gramStart"/>
      <w:r w:rsidRPr="00633BEF">
        <w:rPr>
          <w:rFonts w:ascii="Times New Roman" w:hAnsi="Times New Roman" w:cs="Times New Roman"/>
          <w:sz w:val="24"/>
          <w:szCs w:val="24"/>
        </w:rPr>
        <w:t>hal</w:t>
      </w:r>
      <w:proofErr w:type="gramEnd"/>
      <w:r w:rsidRPr="00633BEF">
        <w:rPr>
          <w:rFonts w:ascii="Times New Roman" w:hAnsi="Times New Roman" w:cs="Times New Roman"/>
          <w:sz w:val="24"/>
          <w:szCs w:val="24"/>
        </w:rPr>
        <w:t xml:space="preserve">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GEÇİCİ MADDE 6</w:t>
      </w:r>
      <w:r>
        <w:rPr>
          <w:rFonts w:ascii="Times New Roman" w:hAnsi="Times New Roman" w:cs="Times New Roman"/>
          <w:sz w:val="24"/>
          <w:szCs w:val="24"/>
        </w:rPr>
        <w:t xml:space="preserve">- (1) 6446 sayılı </w:t>
      </w:r>
      <w:proofErr w:type="gramStart"/>
      <w:r>
        <w:rPr>
          <w:rFonts w:ascii="Times New Roman" w:hAnsi="Times New Roman" w:cs="Times New Roman"/>
          <w:sz w:val="24"/>
          <w:szCs w:val="24"/>
        </w:rPr>
        <w:t>Elektrik Piyasası Kanununun</w:t>
      </w:r>
      <w:proofErr w:type="gramEnd"/>
      <w:r>
        <w:rPr>
          <w:rFonts w:ascii="Times New Roman" w:hAnsi="Times New Roman" w:cs="Times New Roman"/>
          <w:sz w:val="24"/>
          <w:szCs w:val="24"/>
        </w:rPr>
        <w:t xml:space="preserve"> 9 uncu maddesi kapsamında dağıtım faaliyetini yürütmekle görevli dağıtım şirketleri ile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olor w:val="000000" w:themeColor="text1"/>
          <w:sz w:val="24"/>
          <w:szCs w:val="24"/>
        </w:rPr>
        <w:t xml:space="preserve">17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lastRenderedPageBreak/>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a) 18/8/</w:t>
      </w:r>
      <w:r w:rsidR="00372951">
        <w:rPr>
          <w:rFonts w:ascii="Times New Roman" w:hAnsi="Times New Roman"/>
          <w:color w:val="000000" w:themeColor="text1"/>
          <w:sz w:val="24"/>
          <w:szCs w:val="24"/>
        </w:rPr>
        <w:t xml:space="preserve">2023 tarihi saat 11:00 itibari ile bulundurmaları gereken ek teminat tutarı, </w:t>
      </w:r>
    </w:p>
    <w:p w14:paraId="04893D07" w14:textId="0C79F447"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t xml:space="preserve">b) </w:t>
      </w:r>
      <w:proofErr w:type="gramStart"/>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ncı</w:t>
      </w:r>
      <w:proofErr w:type="spellEnd"/>
      <w:proofErr w:type="gramEnd"/>
      <w:r>
        <w:rPr>
          <w:rFonts w:ascii="Times New Roman" w:hAnsi="Times New Roman" w:cs="Times New Roman"/>
          <w:bCs/>
          <w:sz w:val="24"/>
          <w:szCs w:val="24"/>
        </w:rPr>
        <w:t xml:space="preserve"> madde uyarınca hesaplanan ek teminat tutarından Teminat Usul ve Esaslarının 11 inci maddesinin sekizinci fıkrası uyarınca eksik ödenen avans alacaklarının düşülmesi sonucu elde edilen tutar.</w:t>
      </w:r>
    </w:p>
    <w:p w14:paraId="19E9629E" w14:textId="77777777" w:rsidR="005672B3" w:rsidRPr="005672B3" w:rsidRDefault="005672B3" w:rsidP="005672B3">
      <w:pPr>
        <w:spacing w:line="240" w:lineRule="auto"/>
        <w:ind w:firstLine="567"/>
        <w:rPr>
          <w:rFonts w:ascii="Times New Roman" w:hAnsi="Times New Roman" w:cs="Times New Roman"/>
          <w:b/>
          <w:bCs/>
          <w:sz w:val="24"/>
          <w:szCs w:val="24"/>
        </w:rPr>
      </w:pPr>
      <w:r w:rsidRPr="005672B3">
        <w:rPr>
          <w:rFonts w:ascii="Times New Roman" w:hAnsi="Times New Roman" w:cs="Times New Roman"/>
          <w:b/>
          <w:bCs/>
          <w:sz w:val="24"/>
          <w:szCs w:val="24"/>
        </w:rPr>
        <w:t>Geçici başlangıç teminatı</w:t>
      </w:r>
    </w:p>
    <w:p w14:paraId="3D9CFDF7" w14:textId="2978F928" w:rsidR="005672B3" w:rsidRDefault="005672B3" w:rsidP="005672B3">
      <w:pPr>
        <w:spacing w:line="240" w:lineRule="auto"/>
        <w:ind w:firstLine="567"/>
        <w:rPr>
          <w:rFonts w:ascii="Times New Roman" w:hAnsi="Times New Roman" w:cs="Times New Roman"/>
          <w:bCs/>
          <w:sz w:val="24"/>
          <w:szCs w:val="24"/>
        </w:rPr>
      </w:pPr>
      <w:r w:rsidRPr="005672B3">
        <w:rPr>
          <w:rFonts w:ascii="Times New Roman" w:hAnsi="Times New Roman" w:cs="Times New Roman"/>
          <w:b/>
          <w:bCs/>
          <w:sz w:val="24"/>
          <w:szCs w:val="24"/>
        </w:rPr>
        <w:t>GEÇİCİ MADDE 7-</w:t>
      </w:r>
      <w:r w:rsidRPr="005672B3">
        <w:rPr>
          <w:rFonts w:ascii="Times New Roman" w:hAnsi="Times New Roman" w:cs="Times New Roman"/>
          <w:bCs/>
          <w:sz w:val="24"/>
          <w:szCs w:val="24"/>
        </w:rPr>
        <w:t xml:space="preserve"> (1) Toplayıcı lisansı sahibi piyasa katılımcıları için hesaplanacak başlangıç teminatı tutarı 3/3/2025 tarihine kadar 200.000 TL’dir.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r w:rsidR="000823A0" w:rsidRPr="007A33EE" w14:paraId="68756AD4" w14:textId="77777777" w:rsidTr="000823A0">
        <w:trPr>
          <w:jc w:val="center"/>
        </w:trPr>
        <w:tc>
          <w:tcPr>
            <w:tcW w:w="797" w:type="dxa"/>
            <w:tcMar>
              <w:top w:w="0" w:type="dxa"/>
              <w:left w:w="108" w:type="dxa"/>
              <w:bottom w:w="0" w:type="dxa"/>
              <w:right w:w="108" w:type="dxa"/>
            </w:tcMar>
          </w:tcPr>
          <w:p w14:paraId="2D8EF1CB" w14:textId="1FD82FEF" w:rsidR="000823A0" w:rsidRDefault="000823A0"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18-</w:t>
            </w:r>
          </w:p>
        </w:tc>
        <w:tc>
          <w:tcPr>
            <w:tcW w:w="3486" w:type="dxa"/>
            <w:vAlign w:val="center"/>
          </w:tcPr>
          <w:p w14:paraId="5FDEC77E" w14:textId="65EF673D" w:rsidR="000823A0" w:rsidRDefault="000823A0"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22/12/2023</w:t>
            </w:r>
          </w:p>
        </w:tc>
        <w:tc>
          <w:tcPr>
            <w:tcW w:w="4222" w:type="dxa"/>
            <w:tcMar>
              <w:top w:w="0" w:type="dxa"/>
              <w:left w:w="108" w:type="dxa"/>
              <w:bottom w:w="0" w:type="dxa"/>
              <w:right w:w="108" w:type="dxa"/>
            </w:tcMar>
          </w:tcPr>
          <w:p w14:paraId="0098294F" w14:textId="2C58731E" w:rsidR="000823A0" w:rsidRPr="00BF0F6E" w:rsidRDefault="000823A0"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57</w:t>
            </w:r>
          </w:p>
        </w:tc>
      </w:tr>
      <w:tr w:rsidR="00213F93" w14:paraId="29ACA803" w14:textId="77777777" w:rsidTr="00213F93">
        <w:trPr>
          <w:jc w:val="center"/>
        </w:trPr>
        <w:tc>
          <w:tcPr>
            <w:tcW w:w="7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F2056AA" w14:textId="77777777" w:rsidR="00213F93" w:rsidRDefault="00213F93">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19-</w:t>
            </w:r>
          </w:p>
        </w:tc>
        <w:tc>
          <w:tcPr>
            <w:tcW w:w="3486" w:type="dxa"/>
            <w:tcBorders>
              <w:top w:val="single" w:sz="12" w:space="0" w:color="auto"/>
              <w:left w:val="single" w:sz="12" w:space="0" w:color="auto"/>
              <w:bottom w:val="single" w:sz="12" w:space="0" w:color="auto"/>
              <w:right w:val="single" w:sz="12" w:space="0" w:color="auto"/>
            </w:tcBorders>
            <w:vAlign w:val="center"/>
            <w:hideMark/>
          </w:tcPr>
          <w:p w14:paraId="36A97F17" w14:textId="77777777" w:rsidR="00213F93" w:rsidRDefault="00213F93">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14/10/2024</w:t>
            </w:r>
          </w:p>
        </w:tc>
        <w:tc>
          <w:tcPr>
            <w:tcW w:w="42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F7D6C33" w14:textId="77777777" w:rsidR="00213F93" w:rsidRDefault="00213F93">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13171</w:t>
            </w:r>
          </w:p>
        </w:tc>
      </w:tr>
      <w:tr w:rsidR="00213F93" w:rsidRPr="007A33EE" w14:paraId="3B79211B" w14:textId="77777777" w:rsidTr="000823A0">
        <w:trPr>
          <w:jc w:val="center"/>
        </w:trPr>
        <w:tc>
          <w:tcPr>
            <w:tcW w:w="797" w:type="dxa"/>
            <w:tcMar>
              <w:top w:w="0" w:type="dxa"/>
              <w:left w:w="108" w:type="dxa"/>
              <w:bottom w:w="0" w:type="dxa"/>
              <w:right w:w="108" w:type="dxa"/>
            </w:tcMar>
          </w:tcPr>
          <w:p w14:paraId="7680CA00" w14:textId="63E0ACA2" w:rsidR="00213F93" w:rsidRDefault="00213F93" w:rsidP="00213F93">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20</w:t>
            </w:r>
            <w:bookmarkStart w:id="0" w:name="_GoBack"/>
            <w:bookmarkEnd w:id="0"/>
            <w:r>
              <w:rPr>
                <w:rFonts w:ascii="Times New Roman" w:hAnsi="Times New Roman" w:cs="Times New Roman"/>
                <w:b/>
                <w:bCs/>
                <w:sz w:val="22"/>
                <w:szCs w:val="22"/>
                <w:lang w:eastAsia="tr-TR"/>
              </w:rPr>
              <w:t>-</w:t>
            </w:r>
          </w:p>
        </w:tc>
        <w:tc>
          <w:tcPr>
            <w:tcW w:w="3486" w:type="dxa"/>
            <w:vAlign w:val="center"/>
          </w:tcPr>
          <w:p w14:paraId="45D26127" w14:textId="6CA7F160" w:rsidR="00213F93" w:rsidRDefault="00213F93" w:rsidP="00213F93">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10/01/2025</w:t>
            </w:r>
          </w:p>
        </w:tc>
        <w:tc>
          <w:tcPr>
            <w:tcW w:w="4222" w:type="dxa"/>
            <w:tcMar>
              <w:top w:w="0" w:type="dxa"/>
              <w:left w:w="108" w:type="dxa"/>
              <w:bottom w:w="0" w:type="dxa"/>
              <w:right w:w="108" w:type="dxa"/>
            </w:tcMar>
          </w:tcPr>
          <w:p w14:paraId="32E5F873" w14:textId="01E3DC00" w:rsidR="00213F93" w:rsidRDefault="00213F93" w:rsidP="00213F93">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445E" w14:textId="77777777" w:rsidR="00556463" w:rsidRDefault="00556463">
      <w:pPr>
        <w:spacing w:line="240" w:lineRule="auto"/>
      </w:pPr>
      <w:r>
        <w:separator/>
      </w:r>
    </w:p>
  </w:endnote>
  <w:endnote w:type="continuationSeparator" w:id="0">
    <w:p w14:paraId="12D486B4" w14:textId="77777777" w:rsidR="00556463" w:rsidRDefault="0055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59F9" w14:textId="77777777" w:rsidR="005672B3" w:rsidRDefault="005672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61A7" w14:textId="77777777" w:rsidR="008A60EC" w:rsidRDefault="00FE2B9D">
    <w:pPr>
      <w:pStyle w:val="AltBilgi"/>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8511" w14:textId="77777777" w:rsidR="005672B3" w:rsidRDefault="005672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D54A" w14:textId="77777777" w:rsidR="00556463" w:rsidRDefault="00556463">
      <w:pPr>
        <w:spacing w:line="240" w:lineRule="auto"/>
      </w:pPr>
      <w:r>
        <w:separator/>
      </w:r>
    </w:p>
  </w:footnote>
  <w:footnote w:type="continuationSeparator" w:id="0">
    <w:p w14:paraId="28E8D804" w14:textId="77777777" w:rsidR="00556463" w:rsidRDefault="00556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536" w14:textId="26F77BB6"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bjHeaderEvenPageDocProperty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65EB" w14:textId="77777777" w:rsidR="005672B3" w:rsidRDefault="005672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1B62" w14:textId="27ECBADC"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bjHeaderFirstPageDocProperty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F"/>
    <w:rsid w:val="0000661F"/>
    <w:rsid w:val="00023322"/>
    <w:rsid w:val="00044A68"/>
    <w:rsid w:val="00047575"/>
    <w:rsid w:val="0005349C"/>
    <w:rsid w:val="000575A8"/>
    <w:rsid w:val="00057B24"/>
    <w:rsid w:val="00071608"/>
    <w:rsid w:val="0007165D"/>
    <w:rsid w:val="000823A0"/>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13F93"/>
    <w:rsid w:val="00220714"/>
    <w:rsid w:val="00225123"/>
    <w:rsid w:val="00225410"/>
    <w:rsid w:val="00226C25"/>
    <w:rsid w:val="002331A6"/>
    <w:rsid w:val="0023378E"/>
    <w:rsid w:val="00236778"/>
    <w:rsid w:val="00244525"/>
    <w:rsid w:val="0026123F"/>
    <w:rsid w:val="002631C6"/>
    <w:rsid w:val="00274ADA"/>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672B3"/>
    <w:rsid w:val="00573DE3"/>
    <w:rsid w:val="00575AC5"/>
    <w:rsid w:val="0057784D"/>
    <w:rsid w:val="00580BBF"/>
    <w:rsid w:val="0058249C"/>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165A"/>
    <w:rsid w:val="00681C89"/>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C3128"/>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077B9"/>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link w:val="DipnotMetniChar"/>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styleId="DipnotBavurusu">
    <w:name w:val="footnote reference"/>
    <w:uiPriority w:val="99"/>
    <w:semiHidden/>
    <w:unhideWhenUsed/>
    <w:rsid w:val="00193809"/>
    <w:rPr>
      <w:vertAlign w:val="superscript"/>
    </w:rPr>
  </w:style>
  <w:style w:type="character" w:styleId="YerTutucuMetni">
    <w:name w:val="Placeholder Text"/>
    <w:basedOn w:val="VarsaylanParagrafYazTipi"/>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DipnotMetniChar">
    <w:name w:val="Dipnot Metni Char"/>
    <w:basedOn w:val="VarsaylanParagrafYazTipi"/>
    <w:link w:val="DipnotMetni"/>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0696">
      <w:bodyDiv w:val="1"/>
      <w:marLeft w:val="0"/>
      <w:marRight w:val="0"/>
      <w:marTop w:val="0"/>
      <w:marBottom w:val="0"/>
      <w:divBdr>
        <w:top w:val="none" w:sz="0" w:space="0" w:color="auto"/>
        <w:left w:val="none" w:sz="0" w:space="0" w:color="auto"/>
        <w:bottom w:val="none" w:sz="0" w:space="0" w:color="auto"/>
        <w:right w:val="none" w:sz="0" w:space="0" w:color="auto"/>
      </w:divBdr>
    </w:div>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07828166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1LjEyLjIwMjMgMDg6NDY6MTg8L0RhdGVUaW1lPjxMYWJlbFN0cmluZz5LdXJ1bWEgJiN4RDY7emVsLUtpJiN4MTVGO2lzZWwgVmVyaSBpJiN4RTc7ZXJtZXo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J1c3JhLnBvbGF0PC9Vc2VyTmFtZT48RGF0ZVRpbWU+MTQuMDEuMjAyNSAxNDoyNzo0NzwvRGF0ZVRpbWU+PExhYmVsU3RyaW5nPlRhc25pZiBEJiN4MTMxOyYjeDE1RjsmI3gxMzE7LUtpJiN4MTVGO2lzZWwgVmVyaSBpJiN4RTc7ZXJtZXo8L0xhYmVsU3RyaW5nPjwvaXRlbT48L2xhYmVsSGlzdG9yeT4=</Value>
</WrappedLabelHistory>
</file>

<file path=customXml/item8.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B906D5F-E70F-4A51-B01B-12B8FE2D5FD4}">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DF689CD4-13A9-47BF-815F-BA66ED8BEBDE}">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C807B84F-5594-4BA8-ACA6-FA51037CF001}">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63AD22D1-CC0B-476D-A4ED-E9AA6CEC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3372</Words>
  <Characters>19226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 / Kişisel Veri içermez</cp:keywords>
  <cp:lastModifiedBy/>
  <cp:revision>1</cp:revision>
  <dcterms:created xsi:type="dcterms:W3CDTF">2023-12-28T13:35:00Z</dcterms:created>
  <dcterms:modified xsi:type="dcterms:W3CDTF">2025-01-22T06:19:00Z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28063a43-2a4e-482d-82e7-82892b914ff2</vt:lpwstr>
  </property>
  <property fmtid="{D5CDD505-2E9C-101B-9397-08002B2CF9AE}" pid="3" name="bjSaver">
    <vt:lpwstr>XHFj32Kqj2u1iA+F78hqsE4pBqLzFAHi</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{DF689CD4-13A9-47BF-815F-BA66ED8BEBDE}</vt:lpwstr>
  </property>
</Properties>
</file>